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lang w:eastAsia="fr-FR"/>
        </w:rPr>
        <w:id w:val="-595556880"/>
        <w:docPartObj>
          <w:docPartGallery w:val="Cover Pages"/>
          <w:docPartUnique/>
        </w:docPartObj>
      </w:sdtPr>
      <w:sdtEndPr>
        <w:rPr>
          <w:sz w:val="60"/>
          <w:szCs w:val="60"/>
        </w:rPr>
      </w:sdtEndPr>
      <w:sdtContent>
        <w:p w14:paraId="4ED68388" w14:textId="3DB57F5D" w:rsidR="00882339" w:rsidRPr="007B278B" w:rsidRDefault="00882339" w:rsidP="00882339">
          <w:pPr>
            <w:jc w:val="left"/>
            <w:rPr>
              <w:b/>
              <w:bCs/>
              <w:i/>
              <w:iCs/>
              <w:color w:val="FFFFFF" w:themeColor="background1"/>
              <w:szCs w:val="28"/>
              <w:lang w:eastAsia="fr-FR"/>
            </w:rPr>
          </w:pPr>
          <w:r w:rsidRPr="007B278B">
            <w:rPr>
              <w:b/>
              <w:bCs/>
              <w:i/>
              <w:iCs/>
              <w:color w:val="FFFFFF" w:themeColor="background1"/>
              <w:szCs w:val="28"/>
              <w:lang w:eastAsia="fr-FR"/>
              <w14:ligatures w14:val="standardContextual"/>
            </w:rPr>
            <mc:AlternateContent>
              <mc:Choice Requires="wps">
                <w:drawing>
                  <wp:anchor distT="0" distB="0" distL="114300" distR="114300" simplePos="0" relativeHeight="251662848" behindDoc="1" locked="0" layoutInCell="1" allowOverlap="1" wp14:anchorId="76E3F2EA" wp14:editId="7B2C5118">
                    <wp:simplePos x="0" y="0"/>
                    <wp:positionH relativeFrom="column">
                      <wp:posOffset>-1047750</wp:posOffset>
                    </wp:positionH>
                    <wp:positionV relativeFrom="paragraph">
                      <wp:posOffset>-895350</wp:posOffset>
                    </wp:positionV>
                    <wp:extent cx="15506700" cy="10782300"/>
                    <wp:effectExtent l="0" t="0" r="19050" b="19050"/>
                    <wp:wrapNone/>
                    <wp:docPr id="1577125292" name="Rectangle 4"/>
                    <wp:cNvGraphicFramePr/>
                    <a:graphic xmlns:a="http://schemas.openxmlformats.org/drawingml/2006/main">
                      <a:graphicData uri="http://schemas.microsoft.com/office/word/2010/wordprocessingShape">
                        <wps:wsp>
                          <wps:cNvSpPr/>
                          <wps:spPr>
                            <a:xfrm>
                              <a:off x="0" y="0"/>
                              <a:ext cx="15506700" cy="107823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9C850C8" id="Rectangle 4" o:spid="_x0000_s1026" style="position:absolute;margin-left:-82.5pt;margin-top:-70.5pt;width:1221pt;height:849pt;z-index:-251653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" fillcolor="#4472c4 [3204]" strokecolor="#09101d [484]" strokeweight="1pt"/>
                </w:pict>
              </mc:Fallback>
            </mc:AlternateContent>
          </w:r>
          <w:r w:rsidRPr="007B278B">
            <w:rPr>
              <w:b/>
              <w:bCs/>
              <w:i/>
              <w:iCs/>
              <w:color w:val="FFFFFF" w:themeColor="background1"/>
              <w:szCs w:val="28"/>
              <w:lang w:eastAsia="fr-FR"/>
            </w:rPr>
            <w:t>Module 1 : Audit de la situation juridique des personnes et des biens et stratégies patrimoniales civiles</w:t>
          </w:r>
        </w:p>
        <w:p w14:paraId="1680DFBC" w14:textId="1F9F2EE9" w:rsidR="00882339" w:rsidRPr="007B278B" w:rsidRDefault="00882339" w:rsidP="00882339">
          <w:pPr>
            <w:jc w:val="left"/>
            <w:rPr>
              <w:b/>
              <w:bCs/>
              <w:i/>
              <w:iCs/>
              <w:color w:val="FFFFFF" w:themeColor="background1"/>
              <w:szCs w:val="28"/>
              <w:lang w:eastAsia="fr-FR"/>
            </w:rPr>
          </w:pPr>
          <w:r w:rsidRPr="007B278B">
            <w:rPr>
              <w:b/>
              <w:bCs/>
              <w:i/>
              <w:iCs/>
              <w:color w:val="FFFFFF" w:themeColor="background1"/>
              <w:szCs w:val="28"/>
              <w:lang w:eastAsia="fr-FR"/>
            </w:rPr>
            <w:t xml:space="preserve">Leçon 4 : La gestion du patrimoine familial en </w:t>
          </w:r>
          <w:r w:rsidRPr="007B278B">
            <w:rPr>
              <w:b/>
              <w:bCs/>
              <w:i/>
              <w:iCs/>
              <w:color w:val="FFFFFF" w:themeColor="background1"/>
              <w:szCs w:val="28"/>
              <w:lang w:eastAsia="fr-FR"/>
            </w:rPr>
            <w:t>présence</w:t>
          </w:r>
          <w:r w:rsidRPr="007B278B">
            <w:rPr>
              <w:b/>
              <w:bCs/>
              <w:i/>
              <w:iCs/>
              <w:color w:val="FFFFFF" w:themeColor="background1"/>
              <w:szCs w:val="28"/>
              <w:lang w:eastAsia="fr-FR"/>
            </w:rPr>
            <w:t xml:space="preserve"> d’un chef ou dirigeant d’entreprise</w:t>
          </w:r>
        </w:p>
        <w:p w14:paraId="39300A83" w14:textId="77777777" w:rsidR="00882339" w:rsidRPr="007B278B" w:rsidRDefault="00882339" w:rsidP="007B278B">
          <w:pPr>
            <w:pStyle w:val="CGPC-elearning"/>
            <w:rPr>
              <w:lang w:eastAsia="fr-FR"/>
            </w:rPr>
          </w:pPr>
        </w:p>
        <w:p w14:paraId="1882E1F6" w14:textId="77777777" w:rsidR="00882339" w:rsidRPr="007B278B" w:rsidRDefault="00882339" w:rsidP="007B278B">
          <w:pPr>
            <w:pStyle w:val="CGPC-elearning"/>
            <w:rPr>
              <w:lang w:eastAsia="fr-FR"/>
            </w:rPr>
          </w:pPr>
        </w:p>
        <w:p w14:paraId="1548E1D4" w14:textId="77777777" w:rsidR="00882339" w:rsidRPr="007B278B" w:rsidRDefault="00882339" w:rsidP="007B278B">
          <w:pPr>
            <w:pStyle w:val="CGPC-elearning"/>
            <w:rPr>
              <w:lang w:eastAsia="fr-FR"/>
            </w:rPr>
          </w:pPr>
        </w:p>
        <w:p w14:paraId="78476A9D" w14:textId="77777777" w:rsidR="00882339" w:rsidRPr="007B278B" w:rsidRDefault="00882339" w:rsidP="007B278B">
          <w:pPr>
            <w:pStyle w:val="CGPC-elearning"/>
            <w:rPr>
              <w:lang w:eastAsia="fr-FR"/>
            </w:rPr>
          </w:pPr>
        </w:p>
        <w:p w14:paraId="21B6868C" w14:textId="77777777" w:rsidR="00882339" w:rsidRPr="007B278B" w:rsidRDefault="00882339" w:rsidP="007B278B">
          <w:pPr>
            <w:pStyle w:val="CGPC-elearning"/>
            <w:rPr>
              <w:lang w:eastAsia="fr-FR"/>
            </w:rPr>
          </w:pPr>
        </w:p>
        <w:p w14:paraId="2E38496F" w14:textId="77777777" w:rsidR="00882339" w:rsidRPr="007B278B" w:rsidRDefault="00882339" w:rsidP="007B278B">
          <w:pPr>
            <w:pStyle w:val="CGPC-elearning"/>
            <w:rPr>
              <w:lang w:eastAsia="fr-FR"/>
            </w:rPr>
          </w:pPr>
        </w:p>
        <w:p w14:paraId="23BD8024" w14:textId="77777777" w:rsidR="00882339" w:rsidRPr="007B278B" w:rsidRDefault="00882339" w:rsidP="007B278B">
          <w:pPr>
            <w:pStyle w:val="CGPC-elearning"/>
            <w:rPr>
              <w:lang w:eastAsia="fr-FR"/>
            </w:rPr>
          </w:pPr>
        </w:p>
        <w:p w14:paraId="186307B1" w14:textId="77777777" w:rsidR="00882339" w:rsidRPr="007B278B" w:rsidRDefault="00882339" w:rsidP="007B278B">
          <w:pPr>
            <w:pStyle w:val="CGPC-elearning"/>
            <w:rPr>
              <w:lang w:eastAsia="fr-FR"/>
            </w:rPr>
          </w:pPr>
        </w:p>
        <w:p w14:paraId="46055561" w14:textId="77777777" w:rsidR="00882339" w:rsidRPr="007B278B" w:rsidRDefault="00882339" w:rsidP="007B278B">
          <w:pPr>
            <w:pStyle w:val="CGPC-elearning"/>
            <w:rPr>
              <w:lang w:eastAsia="fr-FR"/>
            </w:rPr>
          </w:pPr>
        </w:p>
        <w:p w14:paraId="43E30A0D" w14:textId="3DB597A9" w:rsidR="00677448" w:rsidRPr="007B278B" w:rsidRDefault="00882339" w:rsidP="00882339">
          <w:pPr>
            <w:jc w:val="left"/>
            <w:rPr>
              <w:sz w:val="60"/>
              <w:szCs w:val="60"/>
              <w:lang w:eastAsia="fr-FR"/>
            </w:rPr>
          </w:pPr>
          <w:r w:rsidRPr="007B278B">
            <w:rPr>
              <w:b/>
              <w:bCs/>
              <w:color w:val="FFFFFF" w:themeColor="background1"/>
              <w:sz w:val="60"/>
              <w:szCs w:val="60"/>
              <w:lang w:eastAsia="fr-FR"/>
            </w:rPr>
            <w:t>Chapitre 4 : La transmission du patrimoine du chef ou dirigeant d’entreprise</w:t>
          </w:r>
          <w:r w:rsidRPr="007B278B">
            <w:rPr>
              <w:b/>
              <w:bCs/>
              <w:color w:val="FFFFFF" w:themeColor="background1"/>
              <w:sz w:val="60"/>
              <w:szCs w:val="60"/>
              <w:lang w:eastAsia="fr-FR"/>
            </w:rPr>
            <w:t xml:space="preserve"> </w:t>
          </w:r>
          <w:r w:rsidR="00677448" w:rsidRPr="007B278B">
            <w:rPr>
              <w:b/>
              <w:bCs/>
              <w:sz w:val="60"/>
              <w:szCs w:val="60"/>
              <w:lang w:eastAsia="fr-FR"/>
            </w:rPr>
            <w:br w:type="page"/>
          </w:r>
        </w:p>
      </w:sdtContent>
    </w:sdt>
    <w:sdt>
      <w:sdtPr>
        <w:id w:val="-308484914"/>
        <w:docPartObj>
          <w:docPartGallery w:val="Table of Contents"/>
          <w:docPartUnique/>
        </w:docPartObj>
      </w:sdtPr>
      <w:sdtEndPr>
        <w:rPr>
          <w:b/>
          <w:bCs/>
        </w:rPr>
      </w:sdtEndPr>
      <w:sdtContent>
        <w:p w14:paraId="33B661DD" w14:textId="24EB5AEF" w:rsidR="00B8067C" w:rsidRPr="007B278B" w:rsidRDefault="00B8067C" w:rsidP="00B8067C">
          <w:r w:rsidRPr="007B278B">
            <w:t>Table des matières</w:t>
          </w:r>
        </w:p>
        <w:p w14:paraId="18C2AE46" w14:textId="0578DAA7" w:rsidR="00FC7031" w:rsidRDefault="003539C6">
          <w:pPr>
            <w:pStyle w:val="TM2"/>
            <w:tabs>
              <w:tab w:val="left" w:pos="720"/>
              <w:tab w:val="right" w:leader="dot" w:pos="20921"/>
            </w:tabs>
            <w:rPr>
              <w:rFonts w:asciiTheme="minorHAnsi" w:eastAsiaTheme="minorEastAsia" w:hAnsiTheme="minorHAnsi"/>
              <w:b w:val="0"/>
              <w:noProof/>
              <w:kern w:val="2"/>
              <w:sz w:val="24"/>
              <w:szCs w:val="24"/>
              <w:lang w:val="en-US"/>
              <w14:ligatures w14:val="standardContextual"/>
            </w:rPr>
          </w:pPr>
          <w:r w:rsidRPr="007B278B">
            <w:rPr>
              <w:b w:val="0"/>
            </w:rPr>
            <w:fldChar w:fldCharType="begin"/>
          </w:r>
          <w:r w:rsidRPr="007B278B">
            <w:rPr>
              <w:b w:val="0"/>
            </w:rPr>
            <w:instrText xml:space="preserve"> TOC \o "1-3" \h \z \u </w:instrText>
          </w:r>
          <w:r w:rsidRPr="007B278B">
            <w:rPr>
              <w:b w:val="0"/>
            </w:rPr>
            <w:fldChar w:fldCharType="separate"/>
          </w:r>
          <w:hyperlink w:anchor="_Toc186720063" w:history="1">
            <w:r w:rsidR="00FC7031" w:rsidRPr="00C7193D">
              <w:rPr>
                <w:rStyle w:val="Lienhypertexte"/>
                <w:noProof/>
              </w:rPr>
              <w:t>I.</w:t>
            </w:r>
            <w:r w:rsidR="00FC7031">
              <w:rPr>
                <w:rFonts w:asciiTheme="minorHAnsi" w:eastAsiaTheme="minorEastAsia" w:hAnsiTheme="minorHAnsi"/>
                <w:b w:val="0"/>
                <w:noProof/>
                <w:kern w:val="2"/>
                <w:sz w:val="24"/>
                <w:szCs w:val="24"/>
                <w:lang w:val="en-US"/>
                <w14:ligatures w14:val="standardContextual"/>
              </w:rPr>
              <w:tab/>
            </w:r>
            <w:r w:rsidR="00FC7031" w:rsidRPr="00C7193D">
              <w:rPr>
                <w:rStyle w:val="Lienhypertexte"/>
                <w:noProof/>
              </w:rPr>
              <w:t>La transmission du patrimoine du chef ou dirigeant d’entreprise</w:t>
            </w:r>
            <w:r w:rsidR="00FC7031">
              <w:rPr>
                <w:noProof/>
                <w:webHidden/>
              </w:rPr>
              <w:tab/>
            </w:r>
            <w:r w:rsidR="00FC7031">
              <w:rPr>
                <w:noProof/>
                <w:webHidden/>
              </w:rPr>
              <w:fldChar w:fldCharType="begin"/>
            </w:r>
            <w:r w:rsidR="00FC7031">
              <w:rPr>
                <w:noProof/>
                <w:webHidden/>
              </w:rPr>
              <w:instrText xml:space="preserve"> PAGEREF _Toc186720063 \h </w:instrText>
            </w:r>
            <w:r w:rsidR="00FC7031">
              <w:rPr>
                <w:noProof/>
                <w:webHidden/>
              </w:rPr>
            </w:r>
            <w:r w:rsidR="00FC7031">
              <w:rPr>
                <w:noProof/>
                <w:webHidden/>
              </w:rPr>
              <w:fldChar w:fldCharType="separate"/>
            </w:r>
            <w:r w:rsidR="00FC7031">
              <w:rPr>
                <w:noProof/>
                <w:webHidden/>
              </w:rPr>
              <w:t>2</w:t>
            </w:r>
            <w:r w:rsidR="00FC7031">
              <w:rPr>
                <w:noProof/>
                <w:webHidden/>
              </w:rPr>
              <w:fldChar w:fldCharType="end"/>
            </w:r>
          </w:hyperlink>
        </w:p>
        <w:p w14:paraId="7FA47A02" w14:textId="3188E401" w:rsidR="00FC7031" w:rsidRDefault="00FC7031">
          <w:pPr>
            <w:pStyle w:val="TM3"/>
            <w:rPr>
              <w:rFonts w:asciiTheme="minorHAnsi" w:eastAsiaTheme="minorEastAsia" w:hAnsiTheme="minorHAnsi"/>
              <w:noProof/>
              <w:kern w:val="2"/>
              <w:sz w:val="24"/>
              <w:szCs w:val="24"/>
              <w:lang w:val="en-US"/>
              <w14:ligatures w14:val="standardContextual"/>
            </w:rPr>
          </w:pPr>
          <w:hyperlink w:anchor="_Toc186720064" w:history="1">
            <w:r w:rsidRPr="00C7193D">
              <w:rPr>
                <w:rStyle w:val="Lienhypertexte"/>
                <w:noProof/>
              </w:rPr>
              <w:t>1.</w:t>
            </w:r>
            <w:r>
              <w:rPr>
                <w:rFonts w:asciiTheme="minorHAnsi" w:eastAsiaTheme="minorEastAsia" w:hAnsiTheme="minorHAnsi"/>
                <w:noProof/>
                <w:kern w:val="2"/>
                <w:sz w:val="24"/>
                <w:szCs w:val="24"/>
                <w:lang w:val="en-US"/>
                <w14:ligatures w14:val="standardContextual"/>
              </w:rPr>
              <w:tab/>
            </w:r>
            <w:r w:rsidRPr="00C7193D">
              <w:rPr>
                <w:rStyle w:val="Lienhypertexte"/>
                <w:noProof/>
              </w:rPr>
              <w:t>La transmission du patrimoine du chef ou dirigeant d’entreprise à titre onéreux</w:t>
            </w:r>
            <w:r>
              <w:rPr>
                <w:noProof/>
                <w:webHidden/>
              </w:rPr>
              <w:tab/>
            </w:r>
            <w:r>
              <w:rPr>
                <w:noProof/>
                <w:webHidden/>
              </w:rPr>
              <w:fldChar w:fldCharType="begin"/>
            </w:r>
            <w:r>
              <w:rPr>
                <w:noProof/>
                <w:webHidden/>
              </w:rPr>
              <w:instrText xml:space="preserve"> PAGEREF _Toc186720064 \h </w:instrText>
            </w:r>
            <w:r>
              <w:rPr>
                <w:noProof/>
                <w:webHidden/>
              </w:rPr>
            </w:r>
            <w:r>
              <w:rPr>
                <w:noProof/>
                <w:webHidden/>
              </w:rPr>
              <w:fldChar w:fldCharType="separate"/>
            </w:r>
            <w:r>
              <w:rPr>
                <w:noProof/>
                <w:webHidden/>
              </w:rPr>
              <w:t>5</w:t>
            </w:r>
            <w:r>
              <w:rPr>
                <w:noProof/>
                <w:webHidden/>
              </w:rPr>
              <w:fldChar w:fldCharType="end"/>
            </w:r>
          </w:hyperlink>
        </w:p>
        <w:p w14:paraId="63E9A2F9" w14:textId="5409820C" w:rsidR="00FC7031" w:rsidRDefault="00FC7031">
          <w:pPr>
            <w:pStyle w:val="TM3"/>
            <w:rPr>
              <w:rFonts w:asciiTheme="minorHAnsi" w:eastAsiaTheme="minorEastAsia" w:hAnsiTheme="minorHAnsi"/>
              <w:noProof/>
              <w:kern w:val="2"/>
              <w:sz w:val="24"/>
              <w:szCs w:val="24"/>
              <w:lang w:val="en-US"/>
              <w14:ligatures w14:val="standardContextual"/>
            </w:rPr>
          </w:pPr>
          <w:hyperlink w:anchor="_Toc186720065" w:history="1">
            <w:r w:rsidRPr="00C7193D">
              <w:rPr>
                <w:rStyle w:val="Lienhypertexte"/>
                <w:noProof/>
              </w:rPr>
              <w:t>2.</w:t>
            </w:r>
            <w:r>
              <w:rPr>
                <w:rFonts w:asciiTheme="minorHAnsi" w:eastAsiaTheme="minorEastAsia" w:hAnsiTheme="minorHAnsi"/>
                <w:noProof/>
                <w:kern w:val="2"/>
                <w:sz w:val="24"/>
                <w:szCs w:val="24"/>
                <w:lang w:val="en-US"/>
                <w14:ligatures w14:val="standardContextual"/>
              </w:rPr>
              <w:tab/>
            </w:r>
            <w:r w:rsidRPr="00C7193D">
              <w:rPr>
                <w:rStyle w:val="Lienhypertexte"/>
                <w:noProof/>
              </w:rPr>
              <w:t>La transmission du patrimoine du chef ou dirigeant d’entreprise à titre gratuit</w:t>
            </w:r>
            <w:r>
              <w:rPr>
                <w:noProof/>
                <w:webHidden/>
              </w:rPr>
              <w:tab/>
            </w:r>
            <w:r>
              <w:rPr>
                <w:noProof/>
                <w:webHidden/>
              </w:rPr>
              <w:fldChar w:fldCharType="begin"/>
            </w:r>
            <w:r>
              <w:rPr>
                <w:noProof/>
                <w:webHidden/>
              </w:rPr>
              <w:instrText xml:space="preserve"> PAGEREF _Toc186720065 \h </w:instrText>
            </w:r>
            <w:r>
              <w:rPr>
                <w:noProof/>
                <w:webHidden/>
              </w:rPr>
            </w:r>
            <w:r>
              <w:rPr>
                <w:noProof/>
                <w:webHidden/>
              </w:rPr>
              <w:fldChar w:fldCharType="separate"/>
            </w:r>
            <w:r>
              <w:rPr>
                <w:noProof/>
                <w:webHidden/>
              </w:rPr>
              <w:t>13</w:t>
            </w:r>
            <w:r>
              <w:rPr>
                <w:noProof/>
                <w:webHidden/>
              </w:rPr>
              <w:fldChar w:fldCharType="end"/>
            </w:r>
          </w:hyperlink>
        </w:p>
        <w:p w14:paraId="151E1B3A" w14:textId="09BE4E7E" w:rsidR="00FC7031" w:rsidRDefault="00FC7031">
          <w:pPr>
            <w:pStyle w:val="TM2"/>
            <w:tabs>
              <w:tab w:val="left" w:pos="960"/>
              <w:tab w:val="right" w:leader="dot" w:pos="20921"/>
            </w:tabs>
            <w:rPr>
              <w:rFonts w:asciiTheme="minorHAnsi" w:eastAsiaTheme="minorEastAsia" w:hAnsiTheme="minorHAnsi"/>
              <w:b w:val="0"/>
              <w:noProof/>
              <w:kern w:val="2"/>
              <w:sz w:val="24"/>
              <w:szCs w:val="24"/>
              <w:lang w:val="en-US"/>
              <w14:ligatures w14:val="standardContextual"/>
            </w:rPr>
          </w:pPr>
          <w:hyperlink w:anchor="_Toc186720066" w:history="1">
            <w:r w:rsidRPr="00C7193D">
              <w:rPr>
                <w:rStyle w:val="Lienhypertexte"/>
                <w:noProof/>
              </w:rPr>
              <w:t>II.</w:t>
            </w:r>
            <w:r>
              <w:rPr>
                <w:rFonts w:asciiTheme="minorHAnsi" w:eastAsiaTheme="minorEastAsia" w:hAnsiTheme="minorHAnsi"/>
                <w:b w:val="0"/>
                <w:noProof/>
                <w:kern w:val="2"/>
                <w:sz w:val="24"/>
                <w:szCs w:val="24"/>
                <w:lang w:val="en-US"/>
                <w14:ligatures w14:val="standardContextual"/>
              </w:rPr>
              <w:tab/>
            </w:r>
            <w:r w:rsidRPr="00C7193D">
              <w:rPr>
                <w:rStyle w:val="Lienhypertexte"/>
                <w:noProof/>
              </w:rPr>
              <w:t>De la gestion de la transmission du patrimoine du chef ou dirigeant d’entreprise</w:t>
            </w:r>
            <w:r>
              <w:rPr>
                <w:noProof/>
                <w:webHidden/>
              </w:rPr>
              <w:tab/>
            </w:r>
            <w:r>
              <w:rPr>
                <w:noProof/>
                <w:webHidden/>
              </w:rPr>
              <w:fldChar w:fldCharType="begin"/>
            </w:r>
            <w:r>
              <w:rPr>
                <w:noProof/>
                <w:webHidden/>
              </w:rPr>
              <w:instrText xml:space="preserve"> PAGEREF _Toc186720066 \h </w:instrText>
            </w:r>
            <w:r>
              <w:rPr>
                <w:noProof/>
                <w:webHidden/>
              </w:rPr>
            </w:r>
            <w:r>
              <w:rPr>
                <w:noProof/>
                <w:webHidden/>
              </w:rPr>
              <w:fldChar w:fldCharType="separate"/>
            </w:r>
            <w:r>
              <w:rPr>
                <w:noProof/>
                <w:webHidden/>
              </w:rPr>
              <w:t>18</w:t>
            </w:r>
            <w:r>
              <w:rPr>
                <w:noProof/>
                <w:webHidden/>
              </w:rPr>
              <w:fldChar w:fldCharType="end"/>
            </w:r>
          </w:hyperlink>
        </w:p>
        <w:p w14:paraId="3F0741B5" w14:textId="7C7C31E1" w:rsidR="00FC7031" w:rsidRDefault="00FC7031">
          <w:pPr>
            <w:pStyle w:val="TM3"/>
            <w:rPr>
              <w:rFonts w:asciiTheme="minorHAnsi" w:eastAsiaTheme="minorEastAsia" w:hAnsiTheme="minorHAnsi"/>
              <w:noProof/>
              <w:kern w:val="2"/>
              <w:sz w:val="24"/>
              <w:szCs w:val="24"/>
              <w:lang w:val="en-US"/>
              <w14:ligatures w14:val="standardContextual"/>
            </w:rPr>
          </w:pPr>
          <w:hyperlink w:anchor="_Toc186720067" w:history="1">
            <w:r w:rsidRPr="00C7193D">
              <w:rPr>
                <w:rStyle w:val="Lienhypertexte"/>
                <w:noProof/>
              </w:rPr>
              <w:t>1.</w:t>
            </w:r>
            <w:r>
              <w:rPr>
                <w:rFonts w:asciiTheme="minorHAnsi" w:eastAsiaTheme="minorEastAsia" w:hAnsiTheme="minorHAnsi"/>
                <w:noProof/>
                <w:kern w:val="2"/>
                <w:sz w:val="24"/>
                <w:szCs w:val="24"/>
                <w:lang w:val="en-US"/>
                <w14:ligatures w14:val="standardContextual"/>
              </w:rPr>
              <w:tab/>
            </w:r>
            <w:r w:rsidRPr="00C7193D">
              <w:rPr>
                <w:rStyle w:val="Lienhypertexte"/>
                <w:noProof/>
              </w:rPr>
              <w:t>Anticipation et organisation de la transmission</w:t>
            </w:r>
            <w:r>
              <w:rPr>
                <w:noProof/>
                <w:webHidden/>
              </w:rPr>
              <w:tab/>
            </w:r>
            <w:r>
              <w:rPr>
                <w:noProof/>
                <w:webHidden/>
              </w:rPr>
              <w:fldChar w:fldCharType="begin"/>
            </w:r>
            <w:r>
              <w:rPr>
                <w:noProof/>
                <w:webHidden/>
              </w:rPr>
              <w:instrText xml:space="preserve"> PAGEREF _Toc186720067 \h </w:instrText>
            </w:r>
            <w:r>
              <w:rPr>
                <w:noProof/>
                <w:webHidden/>
              </w:rPr>
            </w:r>
            <w:r>
              <w:rPr>
                <w:noProof/>
                <w:webHidden/>
              </w:rPr>
              <w:fldChar w:fldCharType="separate"/>
            </w:r>
            <w:r>
              <w:rPr>
                <w:noProof/>
                <w:webHidden/>
              </w:rPr>
              <w:t>20</w:t>
            </w:r>
            <w:r>
              <w:rPr>
                <w:noProof/>
                <w:webHidden/>
              </w:rPr>
              <w:fldChar w:fldCharType="end"/>
            </w:r>
          </w:hyperlink>
        </w:p>
        <w:p w14:paraId="76D52D41" w14:textId="14709B17" w:rsidR="00B8067C" w:rsidRPr="007B278B" w:rsidRDefault="003539C6" w:rsidP="005A1882">
          <w:pPr>
            <w:outlineLvl w:val="2"/>
          </w:pPr>
          <w:r w:rsidRPr="007B278B">
            <w:rPr>
              <w:b/>
            </w:rPr>
            <w:fldChar w:fldCharType="end"/>
          </w:r>
        </w:p>
      </w:sdtContent>
    </w:sdt>
    <w:p w14:paraId="195FC356" w14:textId="15EB170F" w:rsidR="00B8067C" w:rsidRPr="007B278B" w:rsidRDefault="00B8067C"/>
    <w:p w14:paraId="3BB03FD7" w14:textId="77777777" w:rsidR="00E961B3" w:rsidRPr="007B278B" w:rsidRDefault="00B42117" w:rsidP="00E961B3">
      <w:pPr>
        <w:rPr>
          <w:rFonts w:eastAsia="Times New Roman"/>
          <w:color w:val="2F5496" w:themeColor="accent1" w:themeShade="BF"/>
          <w:lang w:eastAsia="fr-FR"/>
        </w:rPr>
      </w:pPr>
      <w:r w:rsidRPr="007B278B">
        <w:rPr>
          <w:rFonts w:eastAsia="Times New Roman"/>
          <w:color w:val="2F5496" w:themeColor="accent1" w:themeShade="BF"/>
          <w:lang w:eastAsia="fr-FR"/>
        </w:rPr>
        <w:br w:type="page"/>
      </w:r>
    </w:p>
    <w:p w14:paraId="2590B565" w14:textId="232B9993" w:rsidR="00E961B3" w:rsidRPr="007B278B" w:rsidRDefault="002E5FE3" w:rsidP="00E961B3">
      <w:pPr>
        <w:rPr>
          <w:rFonts w:eastAsia="Times New Roman"/>
          <w:color w:val="2F5496" w:themeColor="accent1" w:themeShade="BF"/>
          <w:lang w:eastAsia="fr-FR"/>
        </w:rPr>
      </w:pPr>
      <w:r>
        <w:rPr>
          <w:rFonts w:eastAsia="Times New Roman"/>
          <w:noProof/>
          <w:color w:val="2F5496" w:themeColor="accent1" w:themeShade="BF"/>
          <w:lang w:eastAsia="fr-FR"/>
          <w14:ligatures w14:val="standardContextual"/>
        </w:rPr>
        <w:lastRenderedPageBreak/>
        <mc:AlternateContent>
          <mc:Choice Requires="wps">
            <w:drawing>
              <wp:anchor distT="0" distB="0" distL="114300" distR="114300" simplePos="0" relativeHeight="251663872" behindDoc="1" locked="0" layoutInCell="1" allowOverlap="1" wp14:anchorId="5AAF5353" wp14:editId="1444B329">
                <wp:simplePos x="0" y="0"/>
                <wp:positionH relativeFrom="column">
                  <wp:posOffset>-895350</wp:posOffset>
                </wp:positionH>
                <wp:positionV relativeFrom="paragraph">
                  <wp:posOffset>-914400</wp:posOffset>
                </wp:positionV>
                <wp:extent cx="15220950" cy="10706100"/>
                <wp:effectExtent l="0" t="0" r="19050" b="19050"/>
                <wp:wrapNone/>
                <wp:docPr id="1305638515" name="Rectangle 5"/>
                <wp:cNvGraphicFramePr/>
                <a:graphic xmlns:a="http://schemas.openxmlformats.org/drawingml/2006/main">
                  <a:graphicData uri="http://schemas.microsoft.com/office/word/2010/wordprocessingShape">
                    <wps:wsp>
                      <wps:cNvSpPr/>
                      <wps:spPr>
                        <a:xfrm>
                          <a:off x="0" y="0"/>
                          <a:ext cx="15220950" cy="1070610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211F413" id="Rectangle 5" o:spid="_x0000_s1026" style="position:absolute;margin-left:-70.5pt;margin-top:-1in;width:1198.5pt;height:843pt;z-index:-251652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" fillcolor="#4472c4 [3204]" strokecolor="#09101d [484]" strokeweight="1pt"/>
            </w:pict>
          </mc:Fallback>
        </mc:AlternateContent>
      </w:r>
    </w:p>
    <w:p w14:paraId="75B1989A" w14:textId="77777777" w:rsidR="00E961B3" w:rsidRPr="007B278B" w:rsidRDefault="00E961B3" w:rsidP="00E961B3">
      <w:pPr>
        <w:rPr>
          <w:rFonts w:eastAsia="Times New Roman"/>
          <w:color w:val="2F5496" w:themeColor="accent1" w:themeShade="BF"/>
          <w:lang w:eastAsia="fr-FR"/>
        </w:rPr>
      </w:pPr>
    </w:p>
    <w:p w14:paraId="3B8F9070" w14:textId="77777777" w:rsidR="00E961B3" w:rsidRPr="007B278B" w:rsidRDefault="00E961B3" w:rsidP="00E961B3">
      <w:pPr>
        <w:rPr>
          <w:rFonts w:eastAsia="Times New Roman"/>
          <w:color w:val="2F5496" w:themeColor="accent1" w:themeShade="BF"/>
          <w:lang w:eastAsia="fr-FR"/>
        </w:rPr>
      </w:pPr>
    </w:p>
    <w:p w14:paraId="0AAE6597" w14:textId="77777777" w:rsidR="00E961B3" w:rsidRPr="007B278B" w:rsidRDefault="00E961B3" w:rsidP="00E961B3">
      <w:pPr>
        <w:rPr>
          <w:rFonts w:eastAsia="Times New Roman"/>
          <w:color w:val="2F5496" w:themeColor="accent1" w:themeShade="BF"/>
          <w:lang w:eastAsia="fr-FR"/>
        </w:rPr>
      </w:pPr>
    </w:p>
    <w:p w14:paraId="35DC68EB" w14:textId="77777777" w:rsidR="00E961B3" w:rsidRPr="007B278B" w:rsidRDefault="00E961B3" w:rsidP="00E961B3">
      <w:pPr>
        <w:rPr>
          <w:rFonts w:eastAsia="Times New Roman"/>
          <w:color w:val="2F5496" w:themeColor="accent1" w:themeShade="BF"/>
          <w:lang w:eastAsia="fr-FR"/>
        </w:rPr>
      </w:pPr>
    </w:p>
    <w:p w14:paraId="39FD91BF" w14:textId="77777777" w:rsidR="00E961B3" w:rsidRPr="007B278B" w:rsidRDefault="00E961B3" w:rsidP="00E961B3">
      <w:pPr>
        <w:rPr>
          <w:rFonts w:eastAsia="Times New Roman"/>
          <w:color w:val="2F5496" w:themeColor="accent1" w:themeShade="BF"/>
          <w:lang w:eastAsia="fr-FR"/>
        </w:rPr>
      </w:pPr>
    </w:p>
    <w:p w14:paraId="09C50D54" w14:textId="77777777" w:rsidR="00E961B3" w:rsidRPr="007B278B" w:rsidRDefault="00E961B3" w:rsidP="00E961B3">
      <w:pPr>
        <w:rPr>
          <w:rFonts w:eastAsia="Times New Roman"/>
          <w:color w:val="2F5496" w:themeColor="accent1" w:themeShade="BF"/>
          <w:lang w:eastAsia="fr-FR"/>
        </w:rPr>
      </w:pPr>
    </w:p>
    <w:p w14:paraId="0BF90DED" w14:textId="77777777" w:rsidR="00E961B3" w:rsidRPr="007B278B" w:rsidRDefault="00E961B3" w:rsidP="00E961B3">
      <w:pPr>
        <w:rPr>
          <w:rFonts w:eastAsia="Times New Roman"/>
          <w:color w:val="2F5496" w:themeColor="accent1" w:themeShade="BF"/>
          <w:lang w:eastAsia="fr-FR"/>
        </w:rPr>
      </w:pPr>
    </w:p>
    <w:p w14:paraId="5AB85444" w14:textId="679CF893" w:rsidR="00882339" w:rsidRPr="007B278B" w:rsidRDefault="000E29C1" w:rsidP="007B278B">
      <w:pPr>
        <w:pStyle w:val="Titre2"/>
      </w:pPr>
      <w:r w:rsidRPr="007B278B">
        <w:t xml:space="preserve"> </w:t>
      </w:r>
      <w:bookmarkStart w:id="0" w:name="_Toc186720063"/>
      <w:r w:rsidRPr="007B278B">
        <w:t>La transmission du patrimoine du chef ou dirigeant d’entreprise</w:t>
      </w:r>
      <w:bookmarkEnd w:id="0"/>
    </w:p>
    <w:p w14:paraId="772DD303" w14:textId="77777777" w:rsidR="00882339" w:rsidRPr="007B278B" w:rsidRDefault="00882339" w:rsidP="007B278B">
      <w:pPr>
        <w:pStyle w:val="CGPC-elearning"/>
        <w:rPr>
          <w:rFonts w:eastAsiaTheme="majorEastAsia"/>
          <w:color w:val="3A5D9C"/>
          <w:sz w:val="44"/>
          <w:szCs w:val="26"/>
        </w:rPr>
      </w:pPr>
      <w:r w:rsidRPr="007B278B">
        <w:br w:type="page"/>
      </w:r>
    </w:p>
    <w:p w14:paraId="6C85A5EB" w14:textId="059CE5F0" w:rsidR="00E961B3" w:rsidRPr="007B278B" w:rsidRDefault="000E29C1" w:rsidP="00E961B3">
      <w:pPr>
        <w:pStyle w:val="NormalWeb"/>
        <w:shd w:val="clear" w:color="auto" w:fill="FFFFFF"/>
        <w:spacing w:before="0" w:beforeAutospacing="0" w:after="0" w:afterAutospacing="0"/>
        <w:jc w:val="center"/>
        <w:textAlignment w:val="baseline"/>
        <w:rPr>
          <w:rFonts w:ascii="Open Sans" w:hAnsi="Open Sans" w:cs="Open Sans"/>
          <w:color w:val="666666"/>
          <w:sz w:val="21"/>
          <w:szCs w:val="21"/>
        </w:rPr>
      </w:pPr>
      <w:r w:rsidRPr="007B278B">
        <w:rPr>
          <w:rFonts w:ascii="Open Sans" w:hAnsi="Open Sans" w:cs="Open Sans"/>
          <w:color w:val="666666"/>
          <w:sz w:val="21"/>
          <w:szCs w:val="21"/>
        </w:rPr>
        <w:lastRenderedPageBreak/>
        <w:drawing>
          <wp:inline distT="0" distB="0" distL="0" distR="0" wp14:anchorId="43EB23D2" wp14:editId="2E200DA0">
            <wp:extent cx="12646387" cy="7124700"/>
            <wp:effectExtent l="533400" t="457200" r="803275" b="800100"/>
            <wp:docPr id="329953246"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663342" cy="7134252"/>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6F2DE7B9" w14:textId="77777777" w:rsidR="00E961B3" w:rsidRPr="007B278B" w:rsidRDefault="00E961B3" w:rsidP="007B278B">
      <w:pPr>
        <w:pStyle w:val="CGPC-elearning"/>
        <w:rPr>
          <w:rFonts w:eastAsia="Times New Roman"/>
          <w:lang w:eastAsia="fr-FR"/>
        </w:rPr>
      </w:pPr>
      <w:r w:rsidRPr="007B278B">
        <w:br w:type="page"/>
      </w:r>
    </w:p>
    <w:p w14:paraId="55A06704" w14:textId="77777777" w:rsidR="000E29C1" w:rsidRPr="007B278B" w:rsidRDefault="000E29C1" w:rsidP="000E29C1">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5EFFD814" w14:textId="77777777" w:rsidR="000E29C1" w:rsidRPr="007B278B" w:rsidRDefault="000E29C1" w:rsidP="000E29C1">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5E3B13D1" w14:textId="385CE667" w:rsidR="000E29C1" w:rsidRPr="007B278B" w:rsidRDefault="000E29C1" w:rsidP="007B278B">
      <w:pPr>
        <w:pStyle w:val="CGPC-elearning"/>
      </w:pPr>
      <w:r w:rsidRPr="007B278B">
        <w:t>La transmission du patrimoine professionnel (parts de société, fonds de commerce) peut être effectuée par son propriétaire (le cédant) </w:t>
      </w:r>
      <w:r w:rsidRPr="007B278B">
        <w:rPr>
          <w:rStyle w:val="lev"/>
          <w:sz w:val="21"/>
        </w:rPr>
        <w:t>à titre onéreux</w:t>
      </w:r>
      <w:r w:rsidRPr="007B278B">
        <w:t>, par cession ou apport de parts ou du fonds à </w:t>
      </w:r>
      <w:r w:rsidRPr="007B278B">
        <w:rPr>
          <w:rStyle w:val="lev"/>
          <w:sz w:val="21"/>
        </w:rPr>
        <w:t>un repreneur</w:t>
      </w:r>
      <w:r w:rsidRPr="007B278B">
        <w:t> (le cessionnaire).</w:t>
      </w:r>
    </w:p>
    <w:p w14:paraId="1B74250D" w14:textId="77777777" w:rsidR="000E29C1" w:rsidRPr="007B278B" w:rsidRDefault="000E29C1" w:rsidP="007B278B">
      <w:pPr>
        <w:pStyle w:val="CGPC-elearning"/>
      </w:pPr>
      <w:r w:rsidRPr="007B278B">
        <w:t>Dans ce cas, le cédant réalise généralement des plus-values dont il cherche à réduire l’imposition.</w:t>
      </w:r>
      <w:r w:rsidRPr="007B278B">
        <w:br/>
        <w:t>Le repreneur cherche, lui, à réduire les frais d’acquisition de l’actif et les droits d’enregistrement.</w:t>
      </w:r>
    </w:p>
    <w:p w14:paraId="51BE1B52" w14:textId="77777777" w:rsidR="000E29C1" w:rsidRPr="007B278B" w:rsidRDefault="000E29C1" w:rsidP="007B278B">
      <w:pPr>
        <w:pStyle w:val="CGPC-elearning"/>
      </w:pPr>
      <w:r w:rsidRPr="007B278B">
        <w:t>II. La transmission peut au contraire intervenir </w:t>
      </w:r>
      <w:r w:rsidRPr="007B278B">
        <w:rPr>
          <w:rStyle w:val="lev"/>
          <w:sz w:val="21"/>
        </w:rPr>
        <w:t>à titre gratuit</w:t>
      </w:r>
      <w:r w:rsidRPr="007B278B">
        <w:t>, par suite du décès du propriétaire ou d’une donation de ce dernier, vers un repreneur ayant le statut d’héritier ou de donataire.</w:t>
      </w:r>
    </w:p>
    <w:p w14:paraId="052AEA17" w14:textId="77777777" w:rsidR="000E29C1" w:rsidRPr="007B278B" w:rsidRDefault="000E29C1" w:rsidP="007B278B">
      <w:pPr>
        <w:pStyle w:val="CGPC-elearning"/>
      </w:pPr>
      <w:r w:rsidRPr="007B278B">
        <w:t>Dans ce schéma, le cédant (l’ex-exploitant donateur) est éventuellement soumis à l’imposition de plus-values.</w:t>
      </w:r>
    </w:p>
    <w:p w14:paraId="5A632AE7" w14:textId="77777777" w:rsidR="000E29C1" w:rsidRPr="007B278B" w:rsidRDefault="000E29C1" w:rsidP="007B278B">
      <w:pPr>
        <w:pStyle w:val="CGPC-elearning"/>
      </w:pPr>
      <w:r w:rsidRPr="007B278B">
        <w:t>L’héritier ou le donataire supporte des droits d’enregistrement (de succession ou de donation) sur la valeur des parts d’entreprise ou du fonds reçue.</w:t>
      </w:r>
    </w:p>
    <w:p w14:paraId="2971C2C0" w14:textId="68314B00" w:rsidR="00B67E84" w:rsidRPr="007B278B" w:rsidRDefault="000E29C1" w:rsidP="007B278B">
      <w:pPr>
        <w:pStyle w:val="CGPC-elearning"/>
      </w:pPr>
      <w:r w:rsidRPr="007B278B">
        <w:t>Nous allons détailler tous ces points.</w:t>
      </w:r>
    </w:p>
    <w:p w14:paraId="461728B9" w14:textId="77777777" w:rsidR="00B67E84" w:rsidRPr="007B278B" w:rsidRDefault="00B67E84" w:rsidP="007B278B">
      <w:pPr>
        <w:pStyle w:val="CGPC-elearning"/>
      </w:pPr>
      <w:r w:rsidRPr="007B278B">
        <w:br w:type="page"/>
      </w:r>
    </w:p>
    <w:p w14:paraId="0C4909A2" w14:textId="73068E2D" w:rsidR="000E29C1" w:rsidRPr="007B278B" w:rsidRDefault="000E29C1" w:rsidP="007B278B">
      <w:pPr>
        <w:pStyle w:val="Titre3"/>
      </w:pPr>
      <w:bookmarkStart w:id="1" w:name="_Toc186720064"/>
      <w:r w:rsidRPr="007B278B">
        <w:lastRenderedPageBreak/>
        <w:t>La transmission du patrimoine du chef ou dirigeant d’entreprise à titre onéreux</w:t>
      </w:r>
      <w:bookmarkEnd w:id="1"/>
    </w:p>
    <w:p w14:paraId="7680ADEF" w14:textId="77777777" w:rsidR="000E29C1" w:rsidRPr="007B278B" w:rsidRDefault="000E29C1" w:rsidP="000E29C1"/>
    <w:p w14:paraId="69034312" w14:textId="6F99E8AC" w:rsidR="000E29C1" w:rsidRPr="007B278B" w:rsidRDefault="000E29C1" w:rsidP="007B278B">
      <w:pPr>
        <w:pStyle w:val="Titre4"/>
      </w:pPr>
      <w:r w:rsidRPr="007B278B">
        <w:t>Fiscalité des plus-values réalisées par le cédant</w:t>
      </w:r>
    </w:p>
    <w:p w14:paraId="11B7A800" w14:textId="60D456EE" w:rsidR="000E29C1" w:rsidRPr="007B278B" w:rsidRDefault="000E29C1" w:rsidP="000E29C1">
      <w:pPr>
        <w:rPr>
          <w:rFonts w:cs="Open Sans"/>
          <w:color w:val="3A5D9C"/>
          <w:sz w:val="21"/>
          <w:szCs w:val="21"/>
          <w:u w:val="single"/>
          <w:bdr w:val="none" w:sz="0" w:space="0" w:color="auto" w:frame="1"/>
        </w:rPr>
      </w:pPr>
    </w:p>
    <w:p w14:paraId="3D3104B9" w14:textId="2B54F44D" w:rsidR="000E29C1" w:rsidRPr="007B278B" w:rsidRDefault="000E29C1" w:rsidP="007B278B">
      <w:pPr>
        <w:pStyle w:val="Titre5"/>
      </w:pPr>
      <w:r w:rsidRPr="007B278B">
        <w:t>Pour les cessions d’une entreprise individuelle ou d’une société soumis à l’impôt sur le revenu</w:t>
      </w:r>
    </w:p>
    <w:p w14:paraId="1C8EF85D" w14:textId="77777777" w:rsidR="000E29C1" w:rsidRPr="007B278B" w:rsidRDefault="000E29C1" w:rsidP="007B278B">
      <w:pPr>
        <w:pStyle w:val="CGPC-elearning"/>
      </w:pPr>
      <w:r w:rsidRPr="007B278B">
        <w:t>Lors de la vente d’une entreprise individuelle ou de parts de sociétés relevant du régime fiscal des sociétés de personne exerçant une activité professionnelle, par une personne exerçant dans cette société une activité commerciale, artisanale, industrielle, libérale ou agricole, on applique les règles d’imposition des plus-values professionnelles (flat taxe de 30 % pour les plus-values long terme &gt; 2 ans).</w:t>
      </w:r>
    </w:p>
    <w:p w14:paraId="2AB6650E" w14:textId="77777777" w:rsidR="000E29C1" w:rsidRPr="007B278B" w:rsidRDefault="000E29C1" w:rsidP="000E29C1">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33DAC261" w14:textId="324F86DB" w:rsidR="000E29C1" w:rsidRPr="007B278B" w:rsidRDefault="000E29C1" w:rsidP="007B278B">
      <w:pPr>
        <w:pStyle w:val="Titre5"/>
      </w:pPr>
      <w:r w:rsidRPr="007B278B">
        <w:t>Les cas d’exonérations des plus-values professionnelles lors de la cession de l’entreprise</w:t>
      </w:r>
    </w:p>
    <w:p w14:paraId="6A5FDEB9" w14:textId="77777777" w:rsidR="000E29C1" w:rsidRPr="007B278B" w:rsidRDefault="000E29C1" w:rsidP="007B278B">
      <w:pPr>
        <w:pStyle w:val="CGPC-elearning"/>
      </w:pPr>
      <w:r w:rsidRPr="007B278B">
        <w:t>Les entreprises individuelles ou sociétés de personnes assujetties à l’impôt sur le revenu peuvent bénéficier d’exonération de plus-values professionnelles et d’abattement, sous certaines conditions, lors de la cession de l’entreprise individuelle ou la cession de l’ensemble des parts d’une société assujettie à l’impôt sur le revenu (cf. leçon 4 – chapitre 1 du module 1).</w:t>
      </w:r>
    </w:p>
    <w:p w14:paraId="7AF05717" w14:textId="77777777" w:rsidR="000E29C1" w:rsidRPr="007B278B" w:rsidRDefault="000E29C1" w:rsidP="007B278B">
      <w:pPr>
        <w:pStyle w:val="CGPC-elearning"/>
      </w:pPr>
      <w:r w:rsidRPr="007B278B">
        <w:t>En rappel ci-après, les cas de figure d’exonération qui peuvent éventuellement se cumuler si le dirigeant y est éligible :</w:t>
      </w:r>
    </w:p>
    <w:p w14:paraId="7149FF2B" w14:textId="77777777" w:rsidR="000E29C1" w:rsidRPr="007B278B" w:rsidRDefault="000E29C1" w:rsidP="007B278B">
      <w:pPr>
        <w:pStyle w:val="CGPC-elearning"/>
      </w:pPr>
      <w:r w:rsidRPr="007B278B">
        <w:rPr>
          <w:rStyle w:val="lev"/>
          <w:b w:val="0"/>
          <w:bCs/>
        </w:rPr>
        <w:t>Exonération en fonction du montant des recettes</w:t>
      </w:r>
      <w:r w:rsidRPr="007B278B">
        <w:br/>
        <w:t>L’exonération est totale si l’activité a été exercée pendant au moins 5 ans et si le chiffre d’affaires moyen HT n’excède pas : 250 000 € pour les entreprises de ventes, les hôtels, les cafés et les restaurants ; 90 000 € pour les entreprises de prestations de services.</w:t>
      </w:r>
    </w:p>
    <w:p w14:paraId="3ECF1187" w14:textId="77777777" w:rsidR="000E29C1" w:rsidRPr="007B278B" w:rsidRDefault="000E29C1" w:rsidP="007B278B">
      <w:pPr>
        <w:pStyle w:val="CGPC-elearning"/>
      </w:pPr>
      <w:r w:rsidRPr="007B278B">
        <w:rPr>
          <w:rStyle w:val="lev"/>
          <w:b w:val="0"/>
          <w:bCs/>
        </w:rPr>
        <w:t>Exonération en fonction du prix de cession</w:t>
      </w:r>
      <w:r w:rsidRPr="007B278B">
        <w:br/>
        <w:t>L’exonération des plus-values est totale si l’activité a été exercée pendant au moins 5 ans et si la valeur des biens cédés, hors actifs immobiliers, n’excède pas 300 000 € ou partielle si la valeur est comprise entre  300 000 € et 1 000 000 €.</w:t>
      </w:r>
    </w:p>
    <w:p w14:paraId="28E03A17" w14:textId="77777777" w:rsidR="000E29C1" w:rsidRPr="007B278B" w:rsidRDefault="000E29C1" w:rsidP="007B278B">
      <w:pPr>
        <w:pStyle w:val="CGPC-elearning"/>
      </w:pPr>
      <w:r w:rsidRPr="007B278B">
        <w:rPr>
          <w:rStyle w:val="lev"/>
          <w:b w:val="0"/>
          <w:bCs/>
        </w:rPr>
        <w:t>Exonération en cas de départ à la retraite</w:t>
      </w:r>
      <w:r w:rsidRPr="007B278B">
        <w:br/>
        <w:t>Le dirigeant peut bénéficier d’une exonération des plus-values professionnelles en cas de départ à la retraite sous certaines conditions d’application, si la transmission de l’entreprise est réalisée à titre onéreux :</w:t>
      </w:r>
    </w:p>
    <w:p w14:paraId="3D215A39" w14:textId="77777777" w:rsidR="000E29C1" w:rsidRPr="007B278B" w:rsidRDefault="000E29C1" w:rsidP="007B278B">
      <w:pPr>
        <w:pStyle w:val="CGPC-elearning"/>
      </w:pPr>
      <w:r w:rsidRPr="007B278B">
        <w:t>l’entreprise cédée doit respecter des critères de seuil :</w:t>
      </w:r>
    </w:p>
    <w:p w14:paraId="438F1CB1" w14:textId="77777777" w:rsidR="000E29C1" w:rsidRPr="007B278B" w:rsidRDefault="000E29C1" w:rsidP="007B278B">
      <w:pPr>
        <w:pStyle w:val="CGPC-elearning"/>
      </w:pPr>
      <w:r w:rsidRPr="007B278B">
        <w:lastRenderedPageBreak/>
        <w:t>employer moins de 250 salariés,</w:t>
      </w:r>
    </w:p>
    <w:p w14:paraId="644C7FED" w14:textId="77777777" w:rsidR="000E29C1" w:rsidRPr="007B278B" w:rsidRDefault="000E29C1" w:rsidP="007B278B">
      <w:pPr>
        <w:pStyle w:val="CGPC-elearning"/>
      </w:pPr>
      <w:r w:rsidRPr="007B278B">
        <w:t>réaliser un chiffre d’affaires annuel inférieur à 50 millions d’euros ou détenir un total de bilan inférieur à 43 millions d’euros ;</w:t>
      </w:r>
    </w:p>
    <w:p w14:paraId="65D487D4" w14:textId="77777777" w:rsidR="000E29C1" w:rsidRPr="007B278B" w:rsidRDefault="000E29C1" w:rsidP="007B278B">
      <w:pPr>
        <w:pStyle w:val="CGPC-elearning"/>
      </w:pPr>
      <w:r w:rsidRPr="007B278B">
        <w:t>le dirigeant doit cesser toute fonction dans l’entreprise et faire valoir ses droits à la retraite dans un délai de 24 mois avant ou après la date de cession effective de son entreprise ;</w:t>
      </w:r>
    </w:p>
    <w:p w14:paraId="256BBCF7" w14:textId="77777777" w:rsidR="000E29C1" w:rsidRPr="007B278B" w:rsidRDefault="000E29C1" w:rsidP="007B278B">
      <w:pPr>
        <w:pStyle w:val="CGPC-elearning"/>
      </w:pPr>
      <w:r w:rsidRPr="007B278B">
        <w:t>en cas de cession à titre onéreux (vente) à une société, le dirigeant ne doit pas contrôler directement ou indirectement celle-ci à plus de 50% ;</w:t>
      </w:r>
    </w:p>
    <w:p w14:paraId="313D0741" w14:textId="77777777" w:rsidR="000E29C1" w:rsidRPr="007B278B" w:rsidRDefault="000E29C1" w:rsidP="007B278B">
      <w:pPr>
        <w:pStyle w:val="CGPC-elearning"/>
      </w:pPr>
      <w:r w:rsidRPr="007B278B">
        <w:t>l’activité doit avoir été exercée pendant 5 ans avant de pouvoir bénéficier de ce dispositif.</w:t>
      </w:r>
    </w:p>
    <w:p w14:paraId="0D4C12F2" w14:textId="7AA8087E" w:rsidR="000E29C1" w:rsidRPr="007B278B" w:rsidRDefault="000E29C1" w:rsidP="007B278B">
      <w:pPr>
        <w:pStyle w:val="CGPC-elearning"/>
      </w:pPr>
      <w:r w:rsidRPr="007B278B">
        <w:rPr>
          <w:lang w:eastAsia="fr-FR"/>
        </w:rPr>
        <w:drawing>
          <wp:inline distT="0" distB="0" distL="0" distR="0" wp14:anchorId="15E17EC7" wp14:editId="2FD0DC81">
            <wp:extent cx="201930" cy="201930"/>
            <wp:effectExtent l="0" t="0" r="7620" b="7620"/>
            <wp:docPr id="1936674741"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Pr="007B278B">
        <w:rPr>
          <w:rStyle w:val="lev"/>
          <w:b w:val="0"/>
          <w:bCs/>
        </w:rPr>
        <w:t>Nota :</w:t>
      </w:r>
      <w:r w:rsidRPr="007B278B">
        <w:rPr>
          <w:rStyle w:val="Accentuation"/>
          <w:i w:val="0"/>
          <w:iCs w:val="0"/>
        </w:rPr>
        <w:t> En revanche les prélèvements sociaux relatifs aux plus-values exonérées restent dus.</w:t>
      </w:r>
    </w:p>
    <w:p w14:paraId="3A7F8895" w14:textId="77777777" w:rsidR="000E29C1" w:rsidRPr="007B278B" w:rsidRDefault="000E29C1" w:rsidP="007B278B">
      <w:pPr>
        <w:pStyle w:val="CGPC-elearning"/>
      </w:pPr>
      <w:r w:rsidRPr="007B278B">
        <w:rPr>
          <w:rStyle w:val="lev"/>
          <w:b w:val="0"/>
          <w:bCs/>
        </w:rPr>
        <w:t xml:space="preserve">Abattement pour </w:t>
      </w:r>
      <w:proofErr w:type="spellStart"/>
      <w:r w:rsidRPr="007B278B">
        <w:rPr>
          <w:rStyle w:val="lev"/>
          <w:b w:val="0"/>
          <w:bCs/>
        </w:rPr>
        <w:t>durée</w:t>
      </w:r>
      <w:proofErr w:type="spellEnd"/>
      <w:r w:rsidRPr="007B278B">
        <w:rPr>
          <w:rStyle w:val="lev"/>
          <w:b w:val="0"/>
          <w:bCs/>
        </w:rPr>
        <w:t xml:space="preserve"> de détention de l’immeuble</w:t>
      </w:r>
      <w:r w:rsidRPr="007B278B">
        <w:br/>
        <w:t>Les régimes d’exonération des plus-values réalisées à l’occasion de la transmission d’entreprise utilisables en cas de départ à la retraite et pour les cessions inférieures à 500 000 € ne s’appliquent pas aux plus-values réalisées sur les biens immobiliers.</w:t>
      </w:r>
      <w:r w:rsidRPr="007B278B">
        <w:br/>
        <w:t>Mais l’article 151 septies B du Code général des impôts conduit à l’application d’un abattement de 10 % par année de détention au-delà de la cinquième sur la plus-value à long terme réalisée à l’occasion de la cession d’un immeuble professionnel.</w:t>
      </w:r>
      <w:r w:rsidRPr="007B278B">
        <w:br/>
        <w:t>Ainsi, l’exonération totale des plus-values à long terme est acquise au bout de 15 ans.</w:t>
      </w:r>
    </w:p>
    <w:p w14:paraId="49A79E96" w14:textId="6CE83AE9" w:rsidR="000E29C1" w:rsidRPr="007B278B" w:rsidRDefault="000E29C1" w:rsidP="007B278B">
      <w:pPr>
        <w:pStyle w:val="Titre5"/>
      </w:pPr>
      <w:r w:rsidRPr="007B278B">
        <w:t>Pour les cessions de titres de sociétés soumises à l’impôt sur les sociétés</w:t>
      </w:r>
    </w:p>
    <w:p w14:paraId="3E7BADE5" w14:textId="5FF27265" w:rsidR="000E29C1" w:rsidRPr="007B278B" w:rsidRDefault="000E29C1" w:rsidP="00E961B3">
      <w:pPr>
        <w:pStyle w:val="Titre6"/>
      </w:pPr>
      <w:r w:rsidRPr="007B278B">
        <w:t>Le taux forfaitaire de 12,8 % par principe</w:t>
      </w:r>
    </w:p>
    <w:p w14:paraId="02130937" w14:textId="77777777" w:rsidR="000E29C1" w:rsidRPr="007B278B" w:rsidRDefault="000E29C1" w:rsidP="000E29C1"/>
    <w:p w14:paraId="29CAF605" w14:textId="77777777" w:rsidR="000E29C1" w:rsidRPr="007B278B" w:rsidRDefault="000E29C1" w:rsidP="007B278B">
      <w:pPr>
        <w:pStyle w:val="CGPC-elearning"/>
      </w:pPr>
      <w:r w:rsidRPr="007B278B">
        <w:t>Les plus-values de cession de valeurs mobilières et droits sociaux réalisées depuis le 1er janvier 2018 sont soumises de plein droit à l’impôt sur le revenu au taux forfaitaire de 12,8 % auquel s’ajoute les prélèvements sociaux de 17,2 % soit un taux global de 30 %. Ce taux s’applique au montant brut de la plus-value réalisée.</w:t>
      </w:r>
    </w:p>
    <w:p w14:paraId="6A4CF0C3" w14:textId="752B157E" w:rsidR="000E29C1" w:rsidRPr="007B278B" w:rsidRDefault="000E29C1" w:rsidP="007B278B">
      <w:pPr>
        <w:pStyle w:val="Titre6"/>
        <w:numPr>
          <w:ilvl w:val="0"/>
          <w:numId w:val="0"/>
        </w:numPr>
        <w:ind w:left="360"/>
      </w:pPr>
      <w:r w:rsidRPr="007B278B">
        <w:t>Le barème progressif sur option</w:t>
      </w:r>
    </w:p>
    <w:p w14:paraId="6C6F2FAE" w14:textId="77777777" w:rsidR="000E29C1" w:rsidRPr="007B278B" w:rsidRDefault="000E29C1" w:rsidP="007B278B">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24BD459A" w14:textId="5E5B378E" w:rsidR="000E29C1" w:rsidRPr="007B278B" w:rsidRDefault="000E29C1" w:rsidP="007B278B">
      <w:pPr>
        <w:pStyle w:val="CGPC-elearning"/>
      </w:pPr>
      <w:r w:rsidRPr="007B278B">
        <w:t>Les contribuables peuvent toutefois opter pour l’imposition de l’ensemble de leurs revenus de capitaux mobiliers et plus-values de cession de valeurs mobilières au barème progressif de l’impôt sur le revenu (auquel s’ajoutent les prélèvements sociaux de 17,2 %).</w:t>
      </w:r>
    </w:p>
    <w:p w14:paraId="0C23F9D8" w14:textId="33818B43" w:rsidR="000E29C1" w:rsidRPr="007B278B" w:rsidRDefault="000E29C1" w:rsidP="00E961B3">
      <w:pPr>
        <w:pStyle w:val="Titre6"/>
      </w:pPr>
      <w:r w:rsidRPr="007B278B">
        <w:t xml:space="preserve">L’abattement pour </w:t>
      </w:r>
      <w:proofErr w:type="spellStart"/>
      <w:r w:rsidRPr="007B278B">
        <w:t>durée</w:t>
      </w:r>
      <w:proofErr w:type="spellEnd"/>
      <w:r w:rsidRPr="007B278B">
        <w:t xml:space="preserve"> de détention de droit commun</w:t>
      </w:r>
    </w:p>
    <w:p w14:paraId="226663D1" w14:textId="77777777" w:rsidR="000E29C1" w:rsidRPr="007B278B" w:rsidRDefault="000E29C1" w:rsidP="000E29C1">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5B347F3A" w14:textId="0BC868BA" w:rsidR="000E29C1" w:rsidRPr="007B278B" w:rsidRDefault="000E29C1" w:rsidP="007B278B">
      <w:pPr>
        <w:pStyle w:val="CGPC-elearning"/>
      </w:pPr>
      <w:r w:rsidRPr="007B278B">
        <w:t xml:space="preserve">À l’inverse de la taxation au taux forfaitaire de 12,8 %, l’imposition selon le barème progressif, permet l’application des abattements pour </w:t>
      </w:r>
      <w:proofErr w:type="spellStart"/>
      <w:r w:rsidRPr="007B278B">
        <w:t>durée</w:t>
      </w:r>
      <w:proofErr w:type="spellEnd"/>
      <w:r w:rsidRPr="007B278B">
        <w:t xml:space="preserve"> de détention sur les plus-values de cession de titres acquis ou souscrits avant le 1er janvier 2018. Une fraction de la CSG est par ailleurs déductible.</w:t>
      </w:r>
    </w:p>
    <w:p w14:paraId="0801B0E9" w14:textId="77777777" w:rsidR="000E29C1" w:rsidRPr="007B278B" w:rsidRDefault="000E29C1" w:rsidP="007B278B">
      <w:pPr>
        <w:pStyle w:val="CGPC-elearning"/>
      </w:pPr>
      <w:r w:rsidRPr="007B278B">
        <w:lastRenderedPageBreak/>
        <w:t xml:space="preserve">Lorsque les titres cédés sont détenus depuis moins de 2 ans, décomptés de date à date, la plus-value de cession ou la distribution considérées ne sont pas éligibles à l’abattement pour </w:t>
      </w:r>
      <w:proofErr w:type="spellStart"/>
      <w:r w:rsidRPr="007B278B">
        <w:t>durée</w:t>
      </w:r>
      <w:proofErr w:type="spellEnd"/>
      <w:r w:rsidRPr="007B278B">
        <w:t xml:space="preserve"> de détention de droit commun.</w:t>
      </w:r>
    </w:p>
    <w:p w14:paraId="43EC9025" w14:textId="77777777" w:rsidR="000E29C1" w:rsidRPr="007B278B" w:rsidRDefault="000E29C1" w:rsidP="007B278B">
      <w:pPr>
        <w:pStyle w:val="CGPC-elearning"/>
      </w:pPr>
      <w:r w:rsidRPr="007B278B">
        <w:t>À l’inverse, l’abattement s’applique, après compensation avec les moins-values, dans les conditions suivantes :</w:t>
      </w:r>
    </w:p>
    <w:p w14:paraId="6562A971" w14:textId="77777777" w:rsidR="000E29C1" w:rsidRPr="007B278B" w:rsidRDefault="000E29C1" w:rsidP="007B278B">
      <w:pPr>
        <w:pStyle w:val="CGPC-elearning"/>
      </w:pPr>
      <w:r w:rsidRPr="007B278B">
        <w:t>50 % du montant de la plus-value réalisée lorsque les actions, parts, droits ou titres sont détenus depuis au moins 2 ans et moins de 8 ans à la date de la cession ;</w:t>
      </w:r>
    </w:p>
    <w:p w14:paraId="150B3144" w14:textId="77777777" w:rsidR="000E29C1" w:rsidRPr="007B278B" w:rsidRDefault="000E29C1" w:rsidP="007B278B">
      <w:pPr>
        <w:pStyle w:val="CGPC-elearning"/>
      </w:pPr>
      <w:r w:rsidRPr="007B278B">
        <w:t>65 % du montant de la plus-value lorsque les actions, parts, droits ou titres sont détenus depuis au moins 8 ans à la date de la cession.</w:t>
      </w:r>
    </w:p>
    <w:p w14:paraId="696DAFAE" w14:textId="058CD8F0" w:rsidR="000E29C1" w:rsidRPr="007B278B" w:rsidRDefault="000E29C1" w:rsidP="007B278B">
      <w:pPr>
        <w:pStyle w:val="CGPC-elearning"/>
      </w:pPr>
      <w:r w:rsidRPr="007B278B">
        <w:rPr>
          <w:lang w:eastAsia="fr-FR"/>
        </w:rPr>
        <w:drawing>
          <wp:inline distT="0" distB="0" distL="0" distR="0" wp14:anchorId="06C9597C" wp14:editId="2E99103E">
            <wp:extent cx="260985" cy="178435"/>
            <wp:effectExtent l="0" t="0" r="5715" b="0"/>
            <wp:docPr id="704579451"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7B278B">
        <w:rPr>
          <w:rStyle w:val="lev"/>
          <w:b w:val="0"/>
          <w:bCs/>
        </w:rPr>
        <w:t> Exemple :</w:t>
      </w:r>
      <w:r w:rsidRPr="007B278B">
        <w:rPr>
          <w:rStyle w:val="Accentuation"/>
          <w:i w:val="0"/>
          <w:iCs w:val="0"/>
        </w:rPr>
        <w:t> un dirigeant associé à 100 % a créé sa société, avant 2018, avec un capital de 5 000 euros réparti en 100 actions. 5 ans plus tard, il décide de céder la totalité de ses actions pour 150 000 euros et remplit les conditions pour bénéficier de l’abattement général.</w:t>
      </w:r>
      <w:r w:rsidRPr="007B278B">
        <w:br/>
      </w:r>
      <w:r w:rsidRPr="007B278B">
        <w:rPr>
          <w:rStyle w:val="Accentuation"/>
          <w:i w:val="0"/>
          <w:iCs w:val="0"/>
        </w:rPr>
        <w:t>Une plus-value de 145 000 euros est réalisée et, compte tenu de la durée de détention des titres, un abattement général de 50 % est applicable. Sur cette opération, le dirigeant associé est donc imposé à l’impôt sur le revenu sur une base de 72 500 euros (les 72 500 euros restants correspondent à l’abattement obtenu).</w:t>
      </w:r>
    </w:p>
    <w:p w14:paraId="2FF985F8" w14:textId="46DFF7EE" w:rsidR="000E29C1" w:rsidRPr="007B278B" w:rsidRDefault="000E29C1" w:rsidP="00E961B3">
      <w:pPr>
        <w:pStyle w:val="Titre6"/>
      </w:pPr>
      <w:r w:rsidRPr="007B278B">
        <w:t xml:space="preserve">L’abattement proportionnel pour </w:t>
      </w:r>
      <w:proofErr w:type="spellStart"/>
      <w:r w:rsidRPr="007B278B">
        <w:t>durée</w:t>
      </w:r>
      <w:proofErr w:type="spellEnd"/>
      <w:r w:rsidRPr="007B278B">
        <w:t xml:space="preserve"> de détention renforcée</w:t>
      </w:r>
    </w:p>
    <w:p w14:paraId="6A3D4F6E" w14:textId="77777777" w:rsidR="000E29C1" w:rsidRPr="007B278B" w:rsidRDefault="000E29C1" w:rsidP="000E29C1">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12955A2E" w14:textId="48226303" w:rsidR="000E29C1" w:rsidRPr="007B278B" w:rsidRDefault="000E29C1" w:rsidP="007B278B">
      <w:pPr>
        <w:pStyle w:val="CGPC-elearning"/>
      </w:pPr>
      <w:r w:rsidRPr="007B278B">
        <w:t>Les deux « types » de plus-values de cession de titres ouvrant droit à l’abattement renforcé sont :</w:t>
      </w:r>
    </w:p>
    <w:p w14:paraId="06B15D72" w14:textId="77777777" w:rsidR="000E29C1" w:rsidRPr="007B278B" w:rsidRDefault="000E29C1" w:rsidP="007B278B">
      <w:pPr>
        <w:pStyle w:val="CGPC-elearning"/>
      </w:pPr>
      <w:r w:rsidRPr="007B278B">
        <w:t>les gains de cession de titres de PME de moins de 10 ans à la date de souscription ou d’acquisition des titres ;</w:t>
      </w:r>
    </w:p>
    <w:p w14:paraId="5D5AA3DF" w14:textId="77777777" w:rsidR="000E29C1" w:rsidRPr="007B278B" w:rsidRDefault="000E29C1" w:rsidP="007B278B">
      <w:pPr>
        <w:pStyle w:val="CGPC-elearning"/>
      </w:pPr>
      <w:r w:rsidRPr="007B278B">
        <w:t>les gains sur titres de dirigeants de PME prenant leur retraite et ne bénéficiant pas de l’abattement fixe lorsque l’option au barème progressif est exercée.</w:t>
      </w:r>
    </w:p>
    <w:p w14:paraId="794D8A75" w14:textId="77777777" w:rsidR="000E29C1" w:rsidRPr="007B278B" w:rsidRDefault="000E29C1" w:rsidP="007B278B">
      <w:pPr>
        <w:pStyle w:val="CGPC-elearning"/>
      </w:pPr>
      <w:r w:rsidRPr="007B278B">
        <w:t>L’abattement est égal à :</w:t>
      </w:r>
    </w:p>
    <w:p w14:paraId="2EC5B2A6" w14:textId="77777777" w:rsidR="000E29C1" w:rsidRPr="007B278B" w:rsidRDefault="000E29C1" w:rsidP="007B278B">
      <w:pPr>
        <w:pStyle w:val="CGPC-elearning"/>
      </w:pPr>
      <w:r w:rsidRPr="007B278B">
        <w:t>50 % pour les titres détenus depuis au moins 1 an et moins de 4 ans ;</w:t>
      </w:r>
    </w:p>
    <w:p w14:paraId="716365CA" w14:textId="77777777" w:rsidR="000E29C1" w:rsidRPr="007B278B" w:rsidRDefault="000E29C1" w:rsidP="007B278B">
      <w:pPr>
        <w:pStyle w:val="CGPC-elearning"/>
      </w:pPr>
      <w:r w:rsidRPr="007B278B">
        <w:t>65 % pour les titres détenus depuis au moins 4 ans et moins de 8 ans ;</w:t>
      </w:r>
    </w:p>
    <w:p w14:paraId="0D44EE46" w14:textId="77777777" w:rsidR="000E29C1" w:rsidRPr="007B278B" w:rsidRDefault="000E29C1" w:rsidP="007B278B">
      <w:pPr>
        <w:pStyle w:val="CGPC-elearning"/>
      </w:pPr>
      <w:r w:rsidRPr="007B278B">
        <w:t>85 % pour les titres détenus au moins 8 ans.</w:t>
      </w:r>
    </w:p>
    <w:p w14:paraId="28759885" w14:textId="77777777" w:rsidR="000E29C1" w:rsidRPr="007B278B" w:rsidRDefault="000E29C1" w:rsidP="007B278B">
      <w:pPr>
        <w:pStyle w:val="CGPC-elearning"/>
      </w:pPr>
      <w:r w:rsidRPr="007B278B">
        <w:rPr>
          <w:rStyle w:val="Accentuation"/>
        </w:rPr>
        <w:t>Pour les gains de cession de titres de PME de moins de 10 ans</w:t>
      </w:r>
    </w:p>
    <w:p w14:paraId="4268FCC9" w14:textId="77777777" w:rsidR="000E29C1" w:rsidRPr="007B278B" w:rsidRDefault="000E29C1" w:rsidP="007B278B">
      <w:pPr>
        <w:pStyle w:val="CGPC-elearning"/>
      </w:pPr>
      <w:r w:rsidRPr="007B278B">
        <w:t>Pour bénéficier de l’abattement renforcé, la société doit répondre aux conditions suivantes :</w:t>
      </w:r>
    </w:p>
    <w:p w14:paraId="50B67606" w14:textId="77777777" w:rsidR="000E29C1" w:rsidRPr="007B278B" w:rsidRDefault="000E29C1" w:rsidP="007B278B">
      <w:pPr>
        <w:pStyle w:val="CGPC-elearning"/>
      </w:pPr>
      <w:r w:rsidRPr="007B278B">
        <w:t>elle est créée depuis moins de 10 ans ;</w:t>
      </w:r>
    </w:p>
    <w:p w14:paraId="02DA9734" w14:textId="77777777" w:rsidR="000E29C1" w:rsidRPr="007B278B" w:rsidRDefault="000E29C1" w:rsidP="007B278B">
      <w:pPr>
        <w:pStyle w:val="CGPC-elearning"/>
      </w:pPr>
      <w:r w:rsidRPr="007B278B">
        <w:t>elle n’est pas issue d’une restructuration, d’une concentration, ou d’une extension ou reprise d’activités préexistantes ;</w:t>
      </w:r>
    </w:p>
    <w:p w14:paraId="16E76342" w14:textId="77777777" w:rsidR="000E29C1" w:rsidRPr="007B278B" w:rsidRDefault="000E29C1" w:rsidP="007B278B">
      <w:pPr>
        <w:pStyle w:val="CGPC-elearning"/>
      </w:pPr>
      <w:r w:rsidRPr="007B278B">
        <w:t>elle compte moins de 250 salariés et réalise moins de 50 millions d’euros de chiffre d’affaires ou moins de 43 millions d’euros de total bilan ;</w:t>
      </w:r>
    </w:p>
    <w:p w14:paraId="45D7ABC0" w14:textId="77777777" w:rsidR="000E29C1" w:rsidRPr="007B278B" w:rsidRDefault="000E29C1" w:rsidP="007B278B">
      <w:pPr>
        <w:pStyle w:val="CGPC-elearning"/>
      </w:pPr>
      <w:r w:rsidRPr="007B278B">
        <w:t>elle est passible de l’impôt sur les bénéfices ;</w:t>
      </w:r>
    </w:p>
    <w:p w14:paraId="7DE4CE3F" w14:textId="77777777" w:rsidR="000E29C1" w:rsidRPr="007B278B" w:rsidRDefault="000E29C1" w:rsidP="007B278B">
      <w:pPr>
        <w:pStyle w:val="CGPC-elearning"/>
      </w:pPr>
      <w:r w:rsidRPr="007B278B">
        <w:t>elle exerce une activité commerciale, industrielle, artisanale, libérale ou agricole ;</w:t>
      </w:r>
    </w:p>
    <w:p w14:paraId="4DC93D7F" w14:textId="77777777" w:rsidR="000E29C1" w:rsidRPr="007B278B" w:rsidRDefault="000E29C1" w:rsidP="007B278B">
      <w:pPr>
        <w:pStyle w:val="CGPC-elearning"/>
      </w:pPr>
      <w:r w:rsidRPr="007B278B">
        <w:lastRenderedPageBreak/>
        <w:t xml:space="preserve">elle doit avoir son siège social dans un État de l’Union européenne (UE), ou dans un autre État partie à l’accord sur l’espace </w:t>
      </w:r>
      <w:proofErr w:type="spellStart"/>
      <w:r w:rsidRPr="007B278B">
        <w:t>l’Espace</w:t>
      </w:r>
      <w:proofErr w:type="spellEnd"/>
      <w:r w:rsidRPr="007B278B">
        <w:t xml:space="preserve"> économique européen (EEE) ayant conclu une convention d’assistance administrative avec la France ;</w:t>
      </w:r>
    </w:p>
    <w:p w14:paraId="3C491FA8" w14:textId="77777777" w:rsidR="000E29C1" w:rsidRPr="007B278B" w:rsidRDefault="000E29C1" w:rsidP="007B278B">
      <w:pPr>
        <w:pStyle w:val="CGPC-elearning"/>
      </w:pPr>
      <w:r w:rsidRPr="007B278B">
        <w:t>et elle n’accorde aucune garantie en capital à ses associés ou actionnaires en contrepartie de leur souscription.</w:t>
      </w:r>
    </w:p>
    <w:p w14:paraId="5C5046CC" w14:textId="77777777" w:rsidR="000E29C1" w:rsidRPr="007B278B" w:rsidRDefault="000E29C1" w:rsidP="007B278B">
      <w:pPr>
        <w:pStyle w:val="CGPC-elearning"/>
      </w:pPr>
      <w:r w:rsidRPr="007B278B">
        <w:rPr>
          <w:rStyle w:val="Accentuation"/>
        </w:rPr>
        <w:t>Pour les gains sur titres de dirigeants de PME prenant leur retraite</w:t>
      </w:r>
    </w:p>
    <w:p w14:paraId="0EB8E6FD" w14:textId="77777777" w:rsidR="000E29C1" w:rsidRPr="007B278B" w:rsidRDefault="000E29C1" w:rsidP="007B278B">
      <w:pPr>
        <w:pStyle w:val="CGPC-elearning"/>
      </w:pPr>
      <w:r w:rsidRPr="007B278B">
        <w:t>En cas de départ à la retraite, le dirigeant, sous réserve que les conditions soient remplies, peut bénéficier d’un </w:t>
      </w:r>
      <w:r w:rsidRPr="007B278B">
        <w:rPr>
          <w:rStyle w:val="lev"/>
        </w:rPr>
        <w:t>abattement fixe de 500 000 euros</w:t>
      </w:r>
      <w:r w:rsidRPr="007B278B">
        <w:t> quelles que soient les modalités d’imposition (taxation forfaitaire unique de 30 % ou barème progressif de l’impôt sur le revenu) (CGI, art. 150-0 D ter).</w:t>
      </w:r>
    </w:p>
    <w:p w14:paraId="66823A72" w14:textId="77777777" w:rsidR="000E29C1" w:rsidRPr="007B278B" w:rsidRDefault="000E29C1" w:rsidP="007B278B">
      <w:pPr>
        <w:pStyle w:val="CGPC-elearning"/>
      </w:pPr>
      <w:r w:rsidRPr="007B278B">
        <w:t>Si le dirigeant opte pour l’imposition selon le barème progressif, il pourra renoncer à l’abattement fixe de 500 000 € pour bénéficier à la place de l’abattement de droit commun ou renforcé, à la seule condition que les titres cédés aient été acquis avant le 1er janvier 2018.</w:t>
      </w:r>
    </w:p>
    <w:p w14:paraId="2D090CA5" w14:textId="77777777" w:rsidR="000E29C1" w:rsidRPr="007B278B" w:rsidRDefault="000E29C1" w:rsidP="007B278B">
      <w:pPr>
        <w:pStyle w:val="CGPC-elearning"/>
      </w:pPr>
      <w:r w:rsidRPr="007B278B">
        <w:t>Pour bénéficier de l’abattement fixe de 500 000 €, le cédant doit remplir les conditions suivantes :</w:t>
      </w:r>
    </w:p>
    <w:p w14:paraId="4F36D8A1" w14:textId="77777777" w:rsidR="000E29C1" w:rsidRPr="007B278B" w:rsidRDefault="000E29C1" w:rsidP="007B278B">
      <w:pPr>
        <w:pStyle w:val="CGPC-elearning"/>
      </w:pPr>
      <w:r w:rsidRPr="007B278B">
        <w:t>le cédant doit avoir exercé au sein de la société une des fonctions de direction énumérées au 1° de l’article 885 O bis du Code général des impôts, c’est-à-dire être soit gérant nommé conformément aux statuts d’une société à responsabilité limitée ou en commandite par actions, soit associé d’une société de personnes, soit président, directeur général, président du conseil de surveillance ou membre du directoire d’une société par actions (SA ou SAS) ;</w:t>
      </w:r>
    </w:p>
    <w:p w14:paraId="0621654B" w14:textId="77777777" w:rsidR="000E29C1" w:rsidRPr="007B278B" w:rsidRDefault="000E29C1" w:rsidP="007B278B">
      <w:pPr>
        <w:pStyle w:val="CGPC-elearning"/>
      </w:pPr>
      <w:r w:rsidRPr="007B278B">
        <w:t>cette fonction doit avoir été exercée de manière continue pendant les 5 années précédant la cession et doit avoir donné lieu à une rémunération normale. Celle-ci doit représenter plus de la moitié des revenus professionnels du cédant ;</w:t>
      </w:r>
    </w:p>
    <w:p w14:paraId="4A37A8B1" w14:textId="77777777" w:rsidR="000E29C1" w:rsidRPr="007B278B" w:rsidRDefault="000E29C1" w:rsidP="007B278B">
      <w:pPr>
        <w:pStyle w:val="CGPC-elearning"/>
      </w:pPr>
      <w:r w:rsidRPr="007B278B">
        <w:t>le cédant doit avoir détenu, directement ou par personne interposée, pendant les 5 dernières années au moins 25 % du capital de la société cédée ou des droits de vote. Il peut être tenu compte des parts détenues par le conjoint, les ascendants, descendants ou les frères et sœurs ;</w:t>
      </w:r>
    </w:p>
    <w:p w14:paraId="544F5BDA" w14:textId="77777777" w:rsidR="000E29C1" w:rsidRPr="007B278B" w:rsidRDefault="000E29C1" w:rsidP="007B278B">
      <w:pPr>
        <w:pStyle w:val="CGPC-elearning"/>
      </w:pPr>
      <w:r w:rsidRPr="007B278B">
        <w:t>le cédant doit cesser toute fonction dans la société et faire valoir ses droits à la retraite dans les 2 années précédant la cession ;</w:t>
      </w:r>
    </w:p>
    <w:p w14:paraId="038393F7" w14:textId="77777777" w:rsidR="000E29C1" w:rsidRPr="007B278B" w:rsidRDefault="000E29C1" w:rsidP="007B278B">
      <w:pPr>
        <w:pStyle w:val="CGPC-elearning"/>
      </w:pPr>
      <w:r w:rsidRPr="007B278B">
        <w:t>la cession doit porter soit :</w:t>
      </w:r>
    </w:p>
    <w:p w14:paraId="69D00F12" w14:textId="77777777" w:rsidR="000E29C1" w:rsidRPr="007B278B" w:rsidRDefault="000E29C1" w:rsidP="007B278B">
      <w:pPr>
        <w:pStyle w:val="CGPC-elearning"/>
      </w:pPr>
      <w:r w:rsidRPr="007B278B">
        <w:t>sur l’intégralité des titres détenus par le cédant dans la société dont les titres sont cédés ;</w:t>
      </w:r>
    </w:p>
    <w:p w14:paraId="6DDF030C" w14:textId="77777777" w:rsidR="000E29C1" w:rsidRPr="007B278B" w:rsidRDefault="000E29C1" w:rsidP="007B278B">
      <w:pPr>
        <w:pStyle w:val="CGPC-elearning"/>
      </w:pPr>
      <w:r w:rsidRPr="007B278B">
        <w:t>sur plus de 50 % des droits de vote ;</w:t>
      </w:r>
    </w:p>
    <w:p w14:paraId="1F84D793" w14:textId="77777777" w:rsidR="000E29C1" w:rsidRPr="007B278B" w:rsidRDefault="000E29C1" w:rsidP="007B278B">
      <w:pPr>
        <w:pStyle w:val="CGPC-elearning"/>
      </w:pPr>
      <w:r w:rsidRPr="007B278B">
        <w:t>sur plus de 50 % des droits dans les bénéfices sociaux de la société, lorsque le cédant détient uniquement l’usufruit des titres ;</w:t>
      </w:r>
    </w:p>
    <w:p w14:paraId="464EF1C0" w14:textId="77777777" w:rsidR="000E29C1" w:rsidRPr="007B278B" w:rsidRDefault="000E29C1" w:rsidP="007B278B">
      <w:pPr>
        <w:pStyle w:val="CGPC-elearning"/>
      </w:pPr>
      <w:r w:rsidRPr="007B278B">
        <w:t>la société dont les titres sont cédés doit être une PME au sens du droit de l’Union européenne :</w:t>
      </w:r>
    </w:p>
    <w:p w14:paraId="5D9D3A4D" w14:textId="77777777" w:rsidR="000E29C1" w:rsidRPr="007B278B" w:rsidRDefault="000E29C1" w:rsidP="007B278B">
      <w:pPr>
        <w:pStyle w:val="CGPC-elearning"/>
      </w:pPr>
      <w:r w:rsidRPr="007B278B">
        <w:t>avoir un effectif inférieur à 250 personnes ;</w:t>
      </w:r>
    </w:p>
    <w:p w14:paraId="73D276DC" w14:textId="77777777" w:rsidR="000E29C1" w:rsidRPr="007B278B" w:rsidRDefault="000E29C1" w:rsidP="007B278B">
      <w:pPr>
        <w:pStyle w:val="CGPC-elearning"/>
      </w:pPr>
      <w:r w:rsidRPr="007B278B">
        <w:t>avoir un chiffre d’affaires annuel n’excédant pas 50 millions d’euros ou le total du bilan annuel n’excédant pas 43 millions d’euros ;</w:t>
      </w:r>
    </w:p>
    <w:p w14:paraId="6C26BC6C" w14:textId="77777777" w:rsidR="000E29C1" w:rsidRPr="007B278B" w:rsidRDefault="000E29C1" w:rsidP="007B278B">
      <w:pPr>
        <w:pStyle w:val="CGPC-elearning"/>
      </w:pPr>
      <w:r w:rsidRPr="007B278B">
        <w:t>ne pas avoir son capital détenu à hauteur de plus de 25 % par une ou plusieurs entreprises ne répondant pas aux 2 deux précédentes conditions.</w:t>
      </w:r>
    </w:p>
    <w:p w14:paraId="251767A8" w14:textId="7F707C14" w:rsidR="000E29C1" w:rsidRPr="007B278B" w:rsidRDefault="000E29C1" w:rsidP="007B278B">
      <w:pPr>
        <w:pStyle w:val="CGPC-elearning"/>
      </w:pPr>
      <w:r w:rsidRPr="007B278B">
        <w:rPr>
          <w:b/>
          <w:lang w:eastAsia="fr-FR"/>
        </w:rPr>
        <w:lastRenderedPageBreak/>
        <w:drawing>
          <wp:inline distT="0" distB="0" distL="0" distR="0" wp14:anchorId="757A9E92" wp14:editId="0DF808A6">
            <wp:extent cx="178435" cy="178435"/>
            <wp:effectExtent l="0" t="0" r="0" b="0"/>
            <wp:docPr id="669086091"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rsidRPr="007B278B">
        <w:rPr>
          <w:rStyle w:val="lev"/>
        </w:rPr>
        <w:t> </w:t>
      </w:r>
      <w:r w:rsidRPr="007B278B">
        <w:rPr>
          <w:rStyle w:val="Accentuation"/>
          <w:b/>
          <w:bCs w:val="0"/>
        </w:rPr>
        <w:t>Nota:</w:t>
      </w:r>
      <w:r w:rsidRPr="007B278B">
        <w:rPr>
          <w:rStyle w:val="lev"/>
        </w:rPr>
        <w:t> </w:t>
      </w:r>
      <w:r w:rsidRPr="007B278B">
        <w:rPr>
          <w:rStyle w:val="Accentuation"/>
        </w:rPr>
        <w:t>l’abattement fixe ne s’applique pas pour la détermination des prélèvements sociaux selon le Code de la sécurité sociale (CSS, art. L. 136-6, al. 10). Les prélèvements sociaux restent donc assis sur le montant des gains nets réalisés, après prise en compte, le cas échéant, des moins-values de même nature, mais sans application de l’abattement fixe.</w:t>
      </w:r>
    </w:p>
    <w:p w14:paraId="0DF06B94" w14:textId="77777777" w:rsidR="000E29C1" w:rsidRPr="007B278B" w:rsidRDefault="000E29C1" w:rsidP="007B278B">
      <w:pPr>
        <w:pStyle w:val="CGPC-elearning"/>
      </w:pPr>
      <w:r w:rsidRPr="007B278B">
        <w:t>L’abattement fixe de 500 000 euros était à l’origine applicable uniquement aux gains de cessions réalisés par des dirigeants de PME partant à la retraite du 1er janvier 2018 au 31 décembre 2022. L’article 5 de la loi de finances pour 2022 a cependant prorogé le dispositif jusqu’au 31 décembre 2024.</w:t>
      </w:r>
    </w:p>
    <w:p w14:paraId="5B5BD48C" w14:textId="77777777" w:rsidR="000E29C1" w:rsidRPr="007B278B" w:rsidRDefault="000E29C1" w:rsidP="007B278B">
      <w:pPr>
        <w:pStyle w:val="CGPC-elearning"/>
      </w:pPr>
      <w:r w:rsidRPr="007B278B">
        <w:t>Pour bénéficier de l’abattement renforcé, le cédant doit apporter les preuves :</w:t>
      </w:r>
    </w:p>
    <w:p w14:paraId="6CF5D925" w14:textId="77777777" w:rsidR="000E29C1" w:rsidRPr="007B278B" w:rsidRDefault="000E29C1" w:rsidP="007B278B">
      <w:pPr>
        <w:pStyle w:val="CGPC-elearning"/>
      </w:pPr>
      <w:r w:rsidRPr="007B278B">
        <w:t>qu’il a exercé de manière continue son activité pendant au moins 5 ans avant de céder ses titres ;</w:t>
      </w:r>
    </w:p>
    <w:p w14:paraId="2E985BED" w14:textId="77777777" w:rsidR="000E29C1" w:rsidRPr="007B278B" w:rsidRDefault="000E29C1" w:rsidP="007B278B">
      <w:pPr>
        <w:pStyle w:val="CGPC-elearning"/>
      </w:pPr>
      <w:r w:rsidRPr="007B278B">
        <w:t>qu’il a détenu, seul ou en famille, au moins 25 % du capital social pendant au moins 5 ans avant de céder ses titres ;</w:t>
      </w:r>
    </w:p>
    <w:p w14:paraId="260B53C3" w14:textId="77777777" w:rsidR="000E29C1" w:rsidRPr="007B278B" w:rsidRDefault="000E29C1" w:rsidP="007B278B">
      <w:pPr>
        <w:pStyle w:val="CGPC-elearning"/>
      </w:pPr>
      <w:r w:rsidRPr="007B278B">
        <w:t>que ses fonctions de direction lui ont apporté au moins 50 % de ses revenus professionnels de manière continue pendant au moins 5 ans avant de céder ses titres ;</w:t>
      </w:r>
    </w:p>
    <w:p w14:paraId="1B993051" w14:textId="77777777" w:rsidR="000E29C1" w:rsidRPr="007B278B" w:rsidRDefault="000E29C1" w:rsidP="007B278B">
      <w:pPr>
        <w:pStyle w:val="CGPC-elearning"/>
      </w:pPr>
      <w:r w:rsidRPr="007B278B">
        <w:t>qu’il cesse toute fonction de direction suite à la cession et qu’il fasse valoir ses droits à la retraite dans les 2 ans qui précèdent ou suivent la cession ;</w:t>
      </w:r>
    </w:p>
    <w:p w14:paraId="5EDF4A0C" w14:textId="77777777" w:rsidR="000E29C1" w:rsidRPr="007B278B" w:rsidRDefault="000E29C1" w:rsidP="007B278B">
      <w:pPr>
        <w:pStyle w:val="CGPC-elearning"/>
      </w:pPr>
      <w:r w:rsidRPr="007B278B">
        <w:t>que la société compte moins de 250 salariés et réalise moins de 50 millions d’euros de chiffre d’affaires ou moins de 43 millions d’euros de total bilan (condition appréciée à la clôture du dernier exercice clos précédent l’acquisition ou la souscription des titres, ou, à défaut, à la date de clôture du premier exercice) ;</w:t>
      </w:r>
    </w:p>
    <w:p w14:paraId="37289829" w14:textId="20242AD3" w:rsidR="00E961B3" w:rsidRPr="007B278B" w:rsidRDefault="000E29C1" w:rsidP="007B278B">
      <w:pPr>
        <w:pStyle w:val="CGPC-elearning"/>
      </w:pPr>
      <w:r w:rsidRPr="007B278B">
        <w:t>qu’il ne détient pas de droit dans la société dont les titres sont cédés durant les 3 années qui suivent la cession.</w:t>
      </w:r>
    </w:p>
    <w:p w14:paraId="268B9C39" w14:textId="77777777" w:rsidR="00E961B3" w:rsidRPr="007B278B" w:rsidRDefault="00E961B3" w:rsidP="007B278B">
      <w:pPr>
        <w:pStyle w:val="CGPC-elearning"/>
      </w:pPr>
      <w:r w:rsidRPr="007B278B">
        <w:br w:type="page"/>
      </w:r>
    </w:p>
    <w:p w14:paraId="2B6222A8" w14:textId="04B4DA3B" w:rsidR="000E29C1" w:rsidRPr="007B278B" w:rsidRDefault="000E29C1" w:rsidP="007B278B">
      <w:pPr>
        <w:pStyle w:val="Titre4"/>
      </w:pPr>
      <w:r w:rsidRPr="007B278B">
        <w:lastRenderedPageBreak/>
        <w:t>La fiscalité des frais financiers d’acquisition supportés par le cessionnaire (repreneur)</w:t>
      </w:r>
    </w:p>
    <w:p w14:paraId="6ED83EA0" w14:textId="77777777" w:rsidR="000E29C1" w:rsidRPr="007B278B" w:rsidRDefault="000E29C1" w:rsidP="007B278B">
      <w:pPr>
        <w:pStyle w:val="CGPC-elearning"/>
      </w:pPr>
      <w:r w:rsidRPr="007B278B">
        <w:t>Le repreneur d’une entreprise à titre onéreux cherchera, au-delà du mode de financement, à déduire les frais d’acquisition et notamment les frais financiers et cherchera également à minimiser si possible les droits d’enregistrement. Vous trouverez ci-dessous les dispositions fiscales ainsi que les charges dues par le cessionnaire :</w:t>
      </w:r>
    </w:p>
    <w:p w14:paraId="78E777C8" w14:textId="77777777" w:rsidR="000E29C1" w:rsidRPr="007B278B" w:rsidRDefault="000E29C1" w:rsidP="007B278B">
      <w:pPr>
        <w:pStyle w:val="CGPC-elearning"/>
      </w:pPr>
      <w:r w:rsidRPr="007B278B">
        <w:t>la déduction des charges financières liées à l’acquisition ;</w:t>
      </w:r>
    </w:p>
    <w:p w14:paraId="62EB3701" w14:textId="77777777" w:rsidR="000E29C1" w:rsidRPr="007B278B" w:rsidRDefault="000E29C1" w:rsidP="007B278B">
      <w:pPr>
        <w:pStyle w:val="CGPC-elearning"/>
      </w:pPr>
      <w:r w:rsidRPr="007B278B">
        <w:t>le principe de l’amortissement temporaire du fonds de commerce ;</w:t>
      </w:r>
    </w:p>
    <w:p w14:paraId="74AA0B3C" w14:textId="77777777" w:rsidR="000E29C1" w:rsidRPr="007B278B" w:rsidRDefault="000E29C1" w:rsidP="007B278B">
      <w:pPr>
        <w:pStyle w:val="CGPC-elearning"/>
      </w:pPr>
      <w:r w:rsidRPr="007B278B">
        <w:t>les droits d’enregistrements dus par le cessionnaire.</w:t>
      </w:r>
    </w:p>
    <w:p w14:paraId="2A05BE25" w14:textId="77777777" w:rsidR="00E961B3" w:rsidRPr="007B278B" w:rsidRDefault="00E961B3" w:rsidP="007B278B"/>
    <w:p w14:paraId="3A7DEFE3" w14:textId="713FD144" w:rsidR="000E29C1" w:rsidRPr="007B278B" w:rsidRDefault="000E29C1" w:rsidP="007B278B">
      <w:pPr>
        <w:pStyle w:val="Titre5"/>
        <w:numPr>
          <w:ilvl w:val="0"/>
          <w:numId w:val="12"/>
        </w:numPr>
      </w:pPr>
      <w:r w:rsidRPr="007B278B">
        <w:t>Déduction des charges financières liées à l’acquisition d’une entreprise individuelle ou de parts d’une société de personnes exerçant une activité professionnelle</w:t>
      </w:r>
    </w:p>
    <w:p w14:paraId="0C68B14F" w14:textId="54F4F9B1" w:rsidR="000E29C1" w:rsidRPr="007B278B" w:rsidRDefault="000E29C1" w:rsidP="007B278B">
      <w:pPr>
        <w:pStyle w:val="CGPC-elearning"/>
      </w:pPr>
      <w:r w:rsidRPr="007B278B">
        <w:t>Le repreneur, pour s’acquitter du paiement du prix d’acquisition de l’entreprise, a généralement recours à l’emprunt.</w:t>
      </w:r>
    </w:p>
    <w:p w14:paraId="2766CF02" w14:textId="77777777" w:rsidR="000E29C1" w:rsidRPr="007B278B" w:rsidRDefault="000E29C1" w:rsidP="007B278B">
      <w:pPr>
        <w:pStyle w:val="CGPC-elearning"/>
      </w:pPr>
      <w:r w:rsidRPr="007B278B">
        <w:t>Lorsque l’emprunt concerne l’acquisition d’une entreprise individuelle exerçant une activité relevant de la catégorie des bénéfices industriels ou commerciaux (BIC), des bénéfices agricoles (BA) ou des bénéfices non commerciaux (BNC), l’exploitant peut déduire des résultats fiscaux de l’entreprise, les intérêts sans limitation de montant et pendant toute la période de l’emprunt.</w:t>
      </w:r>
    </w:p>
    <w:p w14:paraId="2E20591E" w14:textId="77777777" w:rsidR="000E29C1" w:rsidRPr="007B278B" w:rsidRDefault="000E29C1" w:rsidP="007B278B">
      <w:pPr>
        <w:pStyle w:val="CGPC-elearning"/>
      </w:pPr>
      <w:r w:rsidRPr="007B278B">
        <w:t>Selon le BOFIP (BOI-BIC-CHG-50-20-10) sont déductibles les intérêts des dettes de l’entreprise ayant un caractère commercial, notamment :</w:t>
      </w:r>
    </w:p>
    <w:p w14:paraId="2A07A220" w14:textId="77777777" w:rsidR="000E29C1" w:rsidRPr="007B278B" w:rsidRDefault="000E29C1" w:rsidP="007B278B">
      <w:pPr>
        <w:pStyle w:val="CGPC-elearning"/>
      </w:pPr>
      <w:r w:rsidRPr="007B278B">
        <w:t>les intérêts payés aux fournisseurs ;</w:t>
      </w:r>
    </w:p>
    <w:p w14:paraId="01E37162" w14:textId="77777777" w:rsidR="000E29C1" w:rsidRPr="007B278B" w:rsidRDefault="000E29C1" w:rsidP="007B278B">
      <w:pPr>
        <w:pStyle w:val="CGPC-elearning"/>
      </w:pPr>
      <w:r w:rsidRPr="007B278B">
        <w:t>les intérêts payés pour l’acquisition d’un fonds de commerce ;</w:t>
      </w:r>
    </w:p>
    <w:p w14:paraId="0D816238" w14:textId="77777777" w:rsidR="000E29C1" w:rsidRPr="007B278B" w:rsidRDefault="000E29C1" w:rsidP="007B278B">
      <w:pPr>
        <w:pStyle w:val="CGPC-elearning"/>
      </w:pPr>
      <w:r w:rsidRPr="007B278B">
        <w:t>les intérêts afférents au prix d’achat des éléments d’actifs ;</w:t>
      </w:r>
    </w:p>
    <w:p w14:paraId="37A1B8DE" w14:textId="77777777" w:rsidR="000E29C1" w:rsidRPr="007B278B" w:rsidRDefault="000E29C1" w:rsidP="007B278B">
      <w:pPr>
        <w:pStyle w:val="CGPC-elearning"/>
      </w:pPr>
      <w:r w:rsidRPr="007B278B">
        <w:t>les intérêts d’obligations émises par les sociétés ;</w:t>
      </w:r>
    </w:p>
    <w:p w14:paraId="523DE1CE" w14:textId="77777777" w:rsidR="000E29C1" w:rsidRPr="007B278B" w:rsidRDefault="000E29C1" w:rsidP="007B278B">
      <w:pPr>
        <w:pStyle w:val="CGPC-elearning"/>
      </w:pPr>
      <w:r w:rsidRPr="007B278B">
        <w:t>les intérêts des emprunts contractés pour les besoins de l’entreprise.</w:t>
      </w:r>
    </w:p>
    <w:p w14:paraId="2B0C8EC7" w14:textId="77777777" w:rsidR="000E29C1" w:rsidRPr="007B278B" w:rsidRDefault="000E29C1" w:rsidP="007B278B">
      <w:pPr>
        <w:pStyle w:val="CGPC-elearning"/>
      </w:pPr>
      <w:r w:rsidRPr="007B278B">
        <w:t>La déduction des intérêts d’emprunt concerne également les personnes physiques lors de l’acquisition de parts de sociétés relevant de l’impôt sur le revenu (</w:t>
      </w:r>
      <w:r w:rsidRPr="007B278B">
        <w:rPr>
          <w:rStyle w:val="lev"/>
          <w:i/>
          <w:iCs/>
        </w:rPr>
        <w:t>exemple :</w:t>
      </w:r>
      <w:r w:rsidRPr="007B278B">
        <w:t> </w:t>
      </w:r>
      <w:r w:rsidRPr="007B278B">
        <w:rPr>
          <w:rStyle w:val="Accentuation"/>
        </w:rPr>
        <w:t>les associés des sociétés en nom collectif et les commandités des sociétés en commandite simple qui exercent dans cette société une activité professionnelle relevant des BIC, BNC, BA</w:t>
      </w:r>
      <w:r w:rsidRPr="007B278B">
        <w:t>).</w:t>
      </w:r>
    </w:p>
    <w:p w14:paraId="1BCE3433" w14:textId="77777777" w:rsidR="000E29C1" w:rsidRPr="007B278B" w:rsidRDefault="000E29C1" w:rsidP="007B278B">
      <w:pPr>
        <w:pStyle w:val="CGPC-elearning"/>
      </w:pPr>
      <w:r w:rsidRPr="007B278B">
        <w:t>Les intérêts sont, dans ce cas, déductibles de la quote-part des bénéfices de la société revenant à l’associé qui a souscrit l’emprunt.</w:t>
      </w:r>
    </w:p>
    <w:p w14:paraId="50B53C14" w14:textId="676EF9F8" w:rsidR="000E29C1" w:rsidRPr="007B278B" w:rsidRDefault="000E29C1" w:rsidP="007B278B">
      <w:pPr>
        <w:pStyle w:val="CGPC-elearning"/>
      </w:pPr>
      <w:r w:rsidRPr="007B278B">
        <w:rPr>
          <w:lang w:eastAsia="fr-FR"/>
        </w:rPr>
        <w:lastRenderedPageBreak/>
        <w:drawing>
          <wp:inline distT="0" distB="0" distL="0" distR="0" wp14:anchorId="4639F38E" wp14:editId="43712A42">
            <wp:extent cx="189865" cy="189865"/>
            <wp:effectExtent l="0" t="0" r="635" b="635"/>
            <wp:docPr id="198236117"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7B278B">
        <w:rPr>
          <w:rStyle w:val="Accentuation"/>
        </w:rPr>
        <w:t> </w:t>
      </w:r>
      <w:r w:rsidRPr="007B278B">
        <w:rPr>
          <w:rStyle w:val="lev"/>
          <w:i/>
          <w:iCs/>
        </w:rPr>
        <w:t>Nota :</w:t>
      </w:r>
      <w:r w:rsidRPr="007B278B">
        <w:rPr>
          <w:rStyle w:val="Accentuation"/>
        </w:rPr>
        <w:t> les intérêts des emprunts souscrits pour acquérir des titres (droits sociaux) d’une société soumise à l’impôt sur les sociétés par une personne physique ne sont pas déductibles de l’impôt sur le revenu.</w:t>
      </w:r>
    </w:p>
    <w:p w14:paraId="53CEA3E8" w14:textId="17CCCA6D" w:rsidR="000E29C1" w:rsidRPr="007B278B" w:rsidRDefault="000E29C1" w:rsidP="007B278B">
      <w:pPr>
        <w:pStyle w:val="Titre5"/>
        <w:numPr>
          <w:ilvl w:val="0"/>
          <w:numId w:val="23"/>
        </w:numPr>
      </w:pPr>
      <w:r w:rsidRPr="007B278B">
        <w:t>Le principe de l’amortissement temporaire du fond commercial</w:t>
      </w:r>
    </w:p>
    <w:p w14:paraId="3972D08D" w14:textId="77777777" w:rsidR="000E29C1" w:rsidRPr="007B278B" w:rsidRDefault="000E29C1" w:rsidP="007B278B">
      <w:pPr>
        <w:pStyle w:val="CGPC-elearning"/>
        <w:numPr>
          <w:ilvl w:val="0"/>
          <w:numId w:val="23"/>
        </w:numPr>
      </w:pPr>
      <w:r w:rsidRPr="007B278B">
        <w:t>Selon les règles comptables, le fonds commercial (qui correspond à la valorisation de la clientèle et du droit au bail et qui se distingue du fonds de commerce) est présumé avoir une durée d’utilisation illimitée et ne peut donc pas faire l’objet d’un amortissement. À l’inverse, depuis 2016, si un fonds commercial a une durée de vie limitée, il doit être amorti comptablement mais ne peut être déduit du résultat fiscal.</w:t>
      </w:r>
    </w:p>
    <w:p w14:paraId="04B77FD4" w14:textId="77777777" w:rsidR="000E29C1" w:rsidRPr="007B278B" w:rsidRDefault="000E29C1" w:rsidP="007B278B">
      <w:pPr>
        <w:pStyle w:val="CGPC-elearning"/>
        <w:numPr>
          <w:ilvl w:val="0"/>
          <w:numId w:val="23"/>
        </w:numPr>
      </w:pPr>
      <w:r w:rsidRPr="007B278B">
        <w:t>À titre exceptionnel, l’article 23 de la loi de finances pour 2022 autorise les entreprises, à titre temporaire, à déduire de leur résultat imposable l’amortissement constaté en comptabilité au titre des fonds commerciaux acquis entre le 1er janvier 2022 et le 31 décembre 2025. En dehors de cette période le principe de non-déductibilité de l’amortissement du fonds commercial est inscrit dans la loi.</w:t>
      </w:r>
    </w:p>
    <w:p w14:paraId="0EAF89E3" w14:textId="77777777" w:rsidR="000E29C1" w:rsidRPr="007B278B" w:rsidRDefault="000E29C1" w:rsidP="007B278B">
      <w:pPr>
        <w:pStyle w:val="CGPC-elearning"/>
        <w:numPr>
          <w:ilvl w:val="0"/>
          <w:numId w:val="23"/>
        </w:numPr>
      </w:pPr>
      <w:r w:rsidRPr="007B278B">
        <w:t>Cette mesure s’applique aux entreprises soumises à l’impôt sur les sociétés (IS) et aux entreprises relevant de l’impôt sur le revenu suivant le régime réel dont les résultats relèvent des bénéfices industriels et commerciaux (BIC) dès lors qu’elles sont tenues au respect du plan comptable général.</w:t>
      </w:r>
    </w:p>
    <w:p w14:paraId="7F4980D5" w14:textId="4E2500EB" w:rsidR="000E29C1" w:rsidRPr="007B278B" w:rsidRDefault="000E29C1" w:rsidP="007B278B">
      <w:pPr>
        <w:pStyle w:val="Titre5"/>
        <w:numPr>
          <w:ilvl w:val="0"/>
          <w:numId w:val="23"/>
        </w:numPr>
      </w:pPr>
      <w:r w:rsidRPr="007B278B">
        <w:t>Les droits d’enregistrements dus par le cessionnaire</w:t>
      </w:r>
    </w:p>
    <w:p w14:paraId="41E0747F" w14:textId="77777777" w:rsidR="000E29C1" w:rsidRPr="007B278B" w:rsidRDefault="000E29C1" w:rsidP="007B278B">
      <w:pPr>
        <w:pStyle w:val="CGPC-elearning"/>
        <w:numPr>
          <w:ilvl w:val="0"/>
          <w:numId w:val="23"/>
        </w:numPr>
      </w:pPr>
      <w:r w:rsidRPr="007B278B">
        <w:t>Les droits d’enregistrement (ou droits de mutation) sont à la charge de l’acquéreur en cas de reprise d’entreprise : l’acte de cession doit être enregistré au service des impôts et c’est à cette occasion que ces droits seront à acquitter. Les taux sont différents selon que la mutation concerne une entreprise individuelle, des parts de sociétés ou encore des actions.</w:t>
      </w:r>
    </w:p>
    <w:p w14:paraId="5AE2158F" w14:textId="1EDBB02B" w:rsidR="000E29C1" w:rsidRPr="007B278B" w:rsidRDefault="000E29C1" w:rsidP="00E961B3">
      <w:pPr>
        <w:pStyle w:val="Titre6"/>
        <w:numPr>
          <w:ilvl w:val="0"/>
          <w:numId w:val="13"/>
        </w:numPr>
      </w:pPr>
      <w:r w:rsidRPr="007B278B">
        <w:t>Reprise d’une entreprise individuelle</w:t>
      </w:r>
    </w:p>
    <w:p w14:paraId="2985AA11" w14:textId="77777777" w:rsidR="00081F20" w:rsidRPr="007B278B" w:rsidRDefault="00081F20" w:rsidP="00081F20"/>
    <w:p w14:paraId="2E61FE98" w14:textId="77777777" w:rsidR="000E29C1" w:rsidRPr="007B278B" w:rsidRDefault="000E29C1" w:rsidP="007B278B">
      <w:pPr>
        <w:pStyle w:val="CGPC-elearning"/>
      </w:pPr>
      <w:r w:rsidRPr="007B278B">
        <w:t>Les droits d’enregistrement sont de 3 % sur la fraction du prix comprise entre 23 000 € et 200 000 € et 5 % sur celle excédant 200 000 €.</w:t>
      </w:r>
    </w:p>
    <w:p w14:paraId="0070D96D" w14:textId="77777777" w:rsidR="000E29C1" w:rsidRPr="007B278B" w:rsidRDefault="000E29C1" w:rsidP="007B278B">
      <w:pPr>
        <w:pStyle w:val="CGPC-elearning"/>
      </w:pPr>
      <w:r w:rsidRPr="007B278B">
        <w:t>Ils sont versés pour partie à l’État, au département et à la commune, selon des modalités détaillées ci-dessous.</w:t>
      </w:r>
    </w:p>
    <w:p w14:paraId="16E38F1B" w14:textId="77777777" w:rsidR="00E961B3" w:rsidRPr="007B278B" w:rsidRDefault="000E29C1" w:rsidP="007B278B">
      <w:pPr>
        <w:pStyle w:val="CGPC-elearning"/>
        <w:jc w:val="center"/>
        <w:rPr>
          <w:rStyle w:val="lev"/>
          <w:i/>
          <w:iCs/>
        </w:rPr>
      </w:pPr>
      <w:r w:rsidRPr="007B278B">
        <w:rPr>
          <w:lang w:eastAsia="fr-FR"/>
        </w:rPr>
        <w:lastRenderedPageBreak/>
        <w:drawing>
          <wp:inline distT="0" distB="0" distL="0" distR="0" wp14:anchorId="38416222" wp14:editId="0EE00EF4">
            <wp:extent cx="9128530" cy="2647950"/>
            <wp:effectExtent l="0" t="0" r="0" b="0"/>
            <wp:docPr id="102906929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165985" cy="2658815"/>
                    </a:xfrm>
                    <a:prstGeom prst="rect">
                      <a:avLst/>
                    </a:prstGeom>
                    <a:noFill/>
                    <a:ln>
                      <a:noFill/>
                    </a:ln>
                  </pic:spPr>
                </pic:pic>
              </a:graphicData>
            </a:graphic>
          </wp:inline>
        </w:drawing>
      </w:r>
    </w:p>
    <w:p w14:paraId="0451D3AA" w14:textId="58357C04" w:rsidR="000E29C1" w:rsidRPr="007B278B" w:rsidRDefault="000E29C1" w:rsidP="007B278B">
      <w:pPr>
        <w:pStyle w:val="CGPC-elearning"/>
        <w:jc w:val="center"/>
        <w:rPr>
          <w:rStyle w:val="Accentuation"/>
        </w:rPr>
      </w:pPr>
      <w:r w:rsidRPr="007B278B">
        <w:rPr>
          <w:lang w:eastAsia="fr-FR"/>
        </w:rPr>
        <w:drawing>
          <wp:inline distT="0" distB="0" distL="0" distR="0" wp14:anchorId="3F5E7A22" wp14:editId="77751E52">
            <wp:extent cx="189865" cy="189865"/>
            <wp:effectExtent l="0" t="0" r="635" b="635"/>
            <wp:docPr id="1693389300"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7B278B">
        <w:rPr>
          <w:rStyle w:val="lev"/>
          <w:i/>
          <w:iCs/>
        </w:rPr>
        <w:t>Nota :</w:t>
      </w:r>
      <w:r w:rsidRPr="007B278B">
        <w:rPr>
          <w:rStyle w:val="Accentuation"/>
        </w:rPr>
        <w:t> les droits d’enregistrement sont déductibles des résultats de l’entreprise individuelle acquise.</w:t>
      </w:r>
    </w:p>
    <w:p w14:paraId="6A806F5A" w14:textId="77777777" w:rsidR="00081F20" w:rsidRPr="007B278B" w:rsidRDefault="00081F20" w:rsidP="000E29C1">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5231C28D" w14:textId="44B04F44" w:rsidR="000E29C1" w:rsidRPr="007B278B" w:rsidRDefault="000E29C1" w:rsidP="00E961B3">
      <w:pPr>
        <w:pStyle w:val="Titre6"/>
      </w:pPr>
      <w:r w:rsidRPr="007B278B">
        <w:t>Reprise d’une société</w:t>
      </w:r>
    </w:p>
    <w:p w14:paraId="53F0D925" w14:textId="77777777" w:rsidR="00081F20" w:rsidRPr="007B278B" w:rsidRDefault="00081F20" w:rsidP="00081F20"/>
    <w:p w14:paraId="5A017D7C" w14:textId="77777777" w:rsidR="000E29C1" w:rsidRPr="007B278B" w:rsidRDefault="000E29C1" w:rsidP="007B278B">
      <w:pPr>
        <w:pStyle w:val="CGPC-elearning"/>
      </w:pPr>
      <w:r w:rsidRPr="007B278B">
        <w:t>Lors de l’acquisition de parts sociales, les droits d’enregistrement sont fixés à 3 % du prix d’achat des parts sociales après application d’un abattement égal au rapport entre 23 000 € et le nombre total de parts sociales de parts sociales de la société.</w:t>
      </w:r>
    </w:p>
    <w:p w14:paraId="0637EBF8" w14:textId="6C32AFEB" w:rsidR="000E29C1" w:rsidRPr="007B278B" w:rsidRDefault="000E29C1" w:rsidP="007B278B">
      <w:pPr>
        <w:pStyle w:val="CGPC-elearning"/>
      </w:pPr>
      <w:r w:rsidRPr="007B278B">
        <w:rPr>
          <w:b/>
          <w:lang w:eastAsia="fr-FR"/>
        </w:rPr>
        <w:drawing>
          <wp:inline distT="0" distB="0" distL="0" distR="0" wp14:anchorId="268044A4" wp14:editId="14983795">
            <wp:extent cx="260985" cy="178435"/>
            <wp:effectExtent l="0" t="0" r="5715" b="0"/>
            <wp:docPr id="561987195"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0985" cy="178435"/>
                    </a:xfrm>
                    <a:prstGeom prst="rect">
                      <a:avLst/>
                    </a:prstGeom>
                    <a:noFill/>
                    <a:ln>
                      <a:noFill/>
                    </a:ln>
                  </pic:spPr>
                </pic:pic>
              </a:graphicData>
            </a:graphic>
          </wp:inline>
        </w:drawing>
      </w:r>
      <w:r w:rsidRPr="007B278B">
        <w:rPr>
          <w:rStyle w:val="lev"/>
          <w:i/>
          <w:iCs/>
        </w:rPr>
        <w:t> Exemple :</w:t>
      </w:r>
      <w:r w:rsidRPr="007B278B">
        <w:rPr>
          <w:rStyle w:val="Accentuation"/>
        </w:rPr>
        <w:t> Une société a son capital divisé en 500 parts. Un associé cède 200 parts pour un prix de 60 000 €.</w:t>
      </w:r>
      <w:r w:rsidRPr="007B278B">
        <w:br/>
      </w:r>
      <w:r w:rsidRPr="007B278B">
        <w:rPr>
          <w:rStyle w:val="Accentuation"/>
        </w:rPr>
        <w:t>Le montant de l’abattement par part = 23 000 € / 500 parts dans la société = 46 euros Le montant de l’abattement pour la cession = 46 € x 200 parts cédées = 9 200 euros.</w:t>
      </w:r>
      <w:r w:rsidRPr="007B278B">
        <w:br/>
      </w:r>
      <w:r w:rsidRPr="007B278B">
        <w:rPr>
          <w:rStyle w:val="Accentuation"/>
        </w:rPr>
        <w:t>L’assiette après abattement = 60 000 € – 9 200 € = 50 800 euros.</w:t>
      </w:r>
      <w:r w:rsidRPr="007B278B">
        <w:br/>
      </w:r>
      <w:r w:rsidRPr="007B278B">
        <w:rPr>
          <w:rStyle w:val="Accentuation"/>
        </w:rPr>
        <w:t>Le calcul du droit d’enregistrement d’une cession de parts sociales correspondra donc à : (60 000 € – 9 200 €) x 3 %, soit 1 524 €.</w:t>
      </w:r>
      <w:r w:rsidRPr="007B278B">
        <w:br/>
      </w:r>
      <w:r w:rsidRPr="007B278B">
        <w:rPr>
          <w:rStyle w:val="Accentuation"/>
        </w:rPr>
        <w:t>(le taux de 3 % est appliqué sur la valeur vénale des parts sociales)</w:t>
      </w:r>
    </w:p>
    <w:p w14:paraId="2A644E7B" w14:textId="77777777" w:rsidR="000E29C1" w:rsidRPr="007B278B" w:rsidRDefault="000E29C1" w:rsidP="007B278B">
      <w:pPr>
        <w:pStyle w:val="CGPC-elearning"/>
      </w:pPr>
      <w:r w:rsidRPr="007B278B">
        <w:t>Lors de cessions d’actions de parts de fondateurs ou de parts de bénéficiaires de sociétés par actions non cotées en Bourse et qui ne sont pas à prépondérance immobilière, des droits d’enregistrement sont au taux de 0,1 %.</w:t>
      </w:r>
    </w:p>
    <w:p w14:paraId="65237FCD" w14:textId="59977FAF" w:rsidR="000E29C1" w:rsidRPr="007B278B" w:rsidRDefault="000E29C1" w:rsidP="007B278B">
      <w:pPr>
        <w:pStyle w:val="Titre5"/>
      </w:pPr>
      <w:r w:rsidRPr="007B278B">
        <w:t>Les cas d’exonération de droits d’enregistrements</w:t>
      </w:r>
    </w:p>
    <w:p w14:paraId="1DEAC161" w14:textId="77777777" w:rsidR="000E29C1" w:rsidRPr="007B278B" w:rsidRDefault="000E29C1" w:rsidP="007B278B">
      <w:pPr>
        <w:pStyle w:val="CGPC-elearning"/>
      </w:pPr>
      <w:r w:rsidRPr="007B278B">
        <w:t>Pour la liquidation des droits d’enregistrement en cas de cession en pleine propriété de fonds artisanaux, de fonds de commerce, de fonds agricoles ou de clientèles d’une entreprise individuelle ou de parts ou actions d’une société, il est appliqué un abattement de 300 000 € sur la valeur du fonds lorsqu’elle est réalisée auprès de l’une des personnes suivantes :</w:t>
      </w:r>
    </w:p>
    <w:p w14:paraId="52095AE9" w14:textId="77777777" w:rsidR="000E29C1" w:rsidRPr="007B278B" w:rsidRDefault="000E29C1" w:rsidP="007B278B">
      <w:pPr>
        <w:pStyle w:val="CGPC-elearning"/>
      </w:pPr>
      <w:r w:rsidRPr="007B278B">
        <w:lastRenderedPageBreak/>
        <w:t>soit d’un des salariés de l’entreprise cédée. Il doit être employé en contrat à durée indéterminée à temps plein depuis au moins deux ans ou avoir un contrat d’apprentissage en cours au moment de la cession ;</w:t>
      </w:r>
    </w:p>
    <w:p w14:paraId="4BF19115" w14:textId="77777777" w:rsidR="000E29C1" w:rsidRPr="007B278B" w:rsidRDefault="000E29C1" w:rsidP="007B278B">
      <w:pPr>
        <w:pStyle w:val="CGPC-elearning"/>
      </w:pPr>
      <w:r w:rsidRPr="007B278B">
        <w:t>soit d’un membre de la famille du cédant (son époux ou partenaire pacsé, ses ascendants ou descendants en ligne directe ou ses frères et sœurs).</w:t>
      </w:r>
    </w:p>
    <w:p w14:paraId="0D57B6D0" w14:textId="77777777" w:rsidR="000E29C1" w:rsidRPr="007B278B" w:rsidRDefault="000E29C1" w:rsidP="007B278B">
      <w:pPr>
        <w:pStyle w:val="CGPC-elearning"/>
      </w:pPr>
      <w:r w:rsidRPr="007B278B">
        <w:t>Cet abattement est appliqué lorsque toutes les conditions suivantes sont respectées :</w:t>
      </w:r>
    </w:p>
    <w:p w14:paraId="790CF76A" w14:textId="77777777" w:rsidR="000E29C1" w:rsidRPr="007B278B" w:rsidRDefault="000E29C1" w:rsidP="007B278B">
      <w:pPr>
        <w:pStyle w:val="CGPC-elearning"/>
      </w:pPr>
      <w:r w:rsidRPr="007B278B">
        <w:t>l’entreprise exerce une activité commerciale, industrielle, artisanale, agricole ou libérale, à l’exception de la gestion de son propre patrimoine mobilier ou immobilier ;</w:t>
      </w:r>
    </w:p>
    <w:p w14:paraId="017CA402" w14:textId="77777777" w:rsidR="000E29C1" w:rsidRPr="007B278B" w:rsidRDefault="000E29C1" w:rsidP="007B278B">
      <w:pPr>
        <w:pStyle w:val="CGPC-elearning"/>
      </w:pPr>
      <w:r w:rsidRPr="007B278B">
        <w:t>le cédant doit avoir détenu le fonds pendant plus de deux ans (si le cédant a lui-même acquis le fonds à titre gratuit, aucun délai de détention n’est requis) ;</w:t>
      </w:r>
    </w:p>
    <w:p w14:paraId="25AC9601" w14:textId="77777777" w:rsidR="000E29C1" w:rsidRPr="007B278B" w:rsidRDefault="000E29C1" w:rsidP="007B278B">
      <w:pPr>
        <w:pStyle w:val="CGPC-elearning"/>
      </w:pPr>
      <w:r w:rsidRPr="007B278B">
        <w:t>le repreneur doit poursuivre l’exploitation du fonds à titre d’activité professionnelle unique et de manière effective et continue, pendant les cinq années qui suivent la date de la vente.</w:t>
      </w:r>
    </w:p>
    <w:p w14:paraId="69035D75" w14:textId="77777777" w:rsidR="000E29C1" w:rsidRPr="007B278B" w:rsidRDefault="000E29C1" w:rsidP="007B278B">
      <w:pPr>
        <w:pStyle w:val="CGPC-elearning"/>
      </w:pPr>
      <w:r w:rsidRPr="007B278B">
        <w:t>le repreneur doit assurer la direction effective de l’entreprise pendant ces cinq années.</w:t>
      </w:r>
    </w:p>
    <w:p w14:paraId="41254694" w14:textId="77777777" w:rsidR="000E29C1" w:rsidRPr="007B278B" w:rsidRDefault="000E29C1" w:rsidP="007B278B">
      <w:pPr>
        <w:pStyle w:val="CGPC-elearning"/>
      </w:pPr>
      <w:r w:rsidRPr="007B278B">
        <w:rPr>
          <w:rStyle w:val="Accentuation"/>
          <w:sz w:val="21"/>
        </w:rPr>
        <w:t> </w:t>
      </w:r>
    </w:p>
    <w:p w14:paraId="4E1181AB" w14:textId="09AFB1BA" w:rsidR="000E29C1" w:rsidRPr="007B278B" w:rsidRDefault="000E29C1" w:rsidP="007B278B">
      <w:pPr>
        <w:pStyle w:val="CGPC-elearning"/>
        <w:rPr>
          <w:rStyle w:val="Accentuation"/>
        </w:rPr>
      </w:pPr>
      <w:r w:rsidRPr="007B278B">
        <w:rPr>
          <w:rStyle w:val="lev"/>
          <w:i/>
          <w:iCs/>
        </w:rPr>
        <w:t>Attention :</w:t>
      </w:r>
      <w:r w:rsidRPr="007B278B">
        <w:rPr>
          <w:rStyle w:val="Accentuation"/>
        </w:rPr>
        <w:t> lorsque les conditions requises ne sont pas remplies, l’abattement est remis en cause. Le repreneur doit alors payer les droits dont il avait été exonéré.</w:t>
      </w:r>
    </w:p>
    <w:p w14:paraId="799D8F1B" w14:textId="77777777" w:rsidR="00081F20" w:rsidRPr="007B278B" w:rsidRDefault="00081F20" w:rsidP="007B278B">
      <w:pPr>
        <w:pStyle w:val="CGPC-elearning"/>
      </w:pPr>
    </w:p>
    <w:p w14:paraId="10A8582A" w14:textId="3346DF2A" w:rsidR="000E29C1" w:rsidRPr="007B278B" w:rsidRDefault="000E29C1" w:rsidP="007B278B">
      <w:pPr>
        <w:pStyle w:val="Titre3"/>
      </w:pPr>
      <w:bookmarkStart w:id="2" w:name="_Toc186720065"/>
      <w:r w:rsidRPr="007B278B">
        <w:t>La transmission du patrimoine du chef ou dirigeant d’entreprise à titre gratuit</w:t>
      </w:r>
      <w:bookmarkEnd w:id="2"/>
    </w:p>
    <w:p w14:paraId="3FC52D81" w14:textId="77777777" w:rsidR="00081F20" w:rsidRPr="007B278B" w:rsidRDefault="00081F20" w:rsidP="00081F20">
      <w:pPr>
        <w:rPr>
          <w:lang w:eastAsia="fr-FR"/>
        </w:rPr>
      </w:pPr>
    </w:p>
    <w:p w14:paraId="254AEAF9" w14:textId="72989539" w:rsidR="000E29C1" w:rsidRPr="007B278B" w:rsidRDefault="000E29C1" w:rsidP="007B278B">
      <w:pPr>
        <w:pStyle w:val="Titre4"/>
        <w:numPr>
          <w:ilvl w:val="0"/>
          <w:numId w:val="15"/>
        </w:numPr>
      </w:pPr>
      <w:r w:rsidRPr="007B278B">
        <w:t>La fiscalité des plus-values réalisées par le cédant (donateur)</w:t>
      </w:r>
    </w:p>
    <w:p w14:paraId="46251046" w14:textId="55C99E10" w:rsidR="000E29C1" w:rsidRPr="007B278B" w:rsidRDefault="000E29C1" w:rsidP="007B278B">
      <w:pPr>
        <w:pStyle w:val="Titre5"/>
        <w:numPr>
          <w:ilvl w:val="0"/>
          <w:numId w:val="16"/>
        </w:numPr>
      </w:pPr>
      <w:r w:rsidRPr="007B278B">
        <w:t>Report et exonération des plus-values réalisées en cas de donation ou succession de l’entreprise</w:t>
      </w:r>
    </w:p>
    <w:p w14:paraId="16EE21A7" w14:textId="77777777" w:rsidR="000E29C1" w:rsidRPr="007B278B" w:rsidRDefault="000E29C1" w:rsidP="007B278B">
      <w:pPr>
        <w:pStyle w:val="CGPC-elearning"/>
      </w:pPr>
      <w:r w:rsidRPr="007B278B">
        <w:t>Un dispositif fiscal permet en premier lieu un report d’imposition, puis, sous conditions, une exonération des plus-values professionnelles constatées en cas de transmission gratuite :</w:t>
      </w:r>
    </w:p>
    <w:p w14:paraId="488DBD70" w14:textId="77777777" w:rsidR="000E29C1" w:rsidRPr="007B278B" w:rsidRDefault="000E29C1" w:rsidP="007B278B">
      <w:pPr>
        <w:pStyle w:val="CGPC-elearning"/>
      </w:pPr>
      <w:r w:rsidRPr="007B278B">
        <w:t>d’une entreprise individuelle (CGI, art. 41) ;</w:t>
      </w:r>
    </w:p>
    <w:p w14:paraId="00A94D41" w14:textId="77777777" w:rsidR="000E29C1" w:rsidRPr="007B278B" w:rsidRDefault="000E29C1" w:rsidP="007B278B">
      <w:pPr>
        <w:pStyle w:val="CGPC-elearning"/>
      </w:pPr>
      <w:r w:rsidRPr="007B278B">
        <w:t>de parts de société de personne (CGI, art. 151 nonies II).</w:t>
      </w:r>
    </w:p>
    <w:p w14:paraId="7A0568BD" w14:textId="7EEE6373" w:rsidR="000E29C1" w:rsidRPr="007B278B" w:rsidRDefault="000E29C1" w:rsidP="007B278B">
      <w:pPr>
        <w:pStyle w:val="Titre5"/>
      </w:pPr>
      <w:r w:rsidRPr="007B278B">
        <w:lastRenderedPageBreak/>
        <w:t>Report et exonération pour une entreprise individuelle</w:t>
      </w:r>
    </w:p>
    <w:p w14:paraId="3C90085B" w14:textId="77777777" w:rsidR="000E29C1" w:rsidRPr="007B278B" w:rsidRDefault="000E29C1" w:rsidP="007B278B">
      <w:pPr>
        <w:pStyle w:val="CGPC-elearning"/>
      </w:pPr>
      <w:r w:rsidRPr="007B278B">
        <w:t>Depuis le 2 janvier 2004, l’article 41 du Code général des impôts prévoit que les plus-values réalisées par une personne physique à l’occasion de la transmission à titre gratuit d’une entreprise individuelle peuvent bénéficier d’un report d’imposition jusqu’à la date de la cession ou de la cessation de l’entreprise ou, si elle est antérieure, jusqu’à la date :</w:t>
      </w:r>
    </w:p>
    <w:p w14:paraId="7C9D6D70" w14:textId="77777777" w:rsidR="000E29C1" w:rsidRPr="007B278B" w:rsidRDefault="000E29C1" w:rsidP="007B278B">
      <w:pPr>
        <w:pStyle w:val="CGPC-elearning"/>
      </w:pPr>
      <w:r w:rsidRPr="007B278B">
        <w:t>de cession d’un des éléments ayant fait l’objet de la transmission ;</w:t>
      </w:r>
    </w:p>
    <w:p w14:paraId="3E7C4E7C" w14:textId="77777777" w:rsidR="000E29C1" w:rsidRPr="007B278B" w:rsidRDefault="000E29C1" w:rsidP="007B278B">
      <w:pPr>
        <w:pStyle w:val="CGPC-elearning"/>
      </w:pPr>
      <w:r w:rsidRPr="007B278B">
        <w:t>ou de cession à titre onéreux de ses droits par un bénéficiaire.</w:t>
      </w:r>
    </w:p>
    <w:p w14:paraId="41DBBAFF" w14:textId="77777777" w:rsidR="000E29C1" w:rsidRPr="007B278B" w:rsidRDefault="000E29C1" w:rsidP="007B278B">
      <w:pPr>
        <w:pStyle w:val="CGPC-elearning"/>
      </w:pPr>
      <w:r w:rsidRPr="007B278B">
        <w:t>Par ailleurs, lorsque l’activité est poursuivie pendant au moins cinq ans, les plus-values demeurant en report à l’achèvement de ce délai sont définitivement exonérées.</w:t>
      </w:r>
    </w:p>
    <w:p w14:paraId="25A19B36" w14:textId="737591B7" w:rsidR="000E29C1" w:rsidRPr="007B278B" w:rsidRDefault="000E29C1" w:rsidP="007B278B">
      <w:pPr>
        <w:pStyle w:val="CGPC-elearning"/>
      </w:pPr>
      <w:r w:rsidRPr="007B278B">
        <w:rPr>
          <w:b/>
          <w:lang w:eastAsia="fr-FR"/>
        </w:rPr>
        <w:drawing>
          <wp:inline distT="0" distB="0" distL="0" distR="0" wp14:anchorId="2E17BFB1" wp14:editId="6B35366B">
            <wp:extent cx="189865" cy="189865"/>
            <wp:effectExtent l="0" t="0" r="635" b="635"/>
            <wp:docPr id="1425515779"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7B278B">
        <w:rPr>
          <w:rStyle w:val="lev"/>
          <w:i/>
          <w:iCs/>
        </w:rPr>
        <w:t>Nota :</w:t>
      </w:r>
      <w:r w:rsidRPr="007B278B">
        <w:rPr>
          <w:rStyle w:val="Accentuation"/>
        </w:rPr>
        <w:t> les transmissions éligibles au dispositif sont celles portant sur des entreprises individuelles : il s’agit des entreprises exploitées par des contribuables y exerçant leur profession, c’est-à-dire ceux réalisant habituellement des opérations pour leur compte et dans un but lucratif. Cette profession, qui peut être de nature industrielle, commerciale, artisanale, libérale ou agricole, doit être effectivement exercée, ce qui suppose l’accomplissement d’actes précis et de diligences réelles. La personne à l’origine de la transmission doit donc gérer une véritable entreprise. En conséquence, les loueurs de fonds de commerce, administrant une activité de rapport, ne sont pas considérés comme exploitant une entreprise individuelle pour l’application du régime prévu à l’article 41 du Code général des impôts (BOI-BNC-BASE-30-30-30-20).</w:t>
      </w:r>
    </w:p>
    <w:p w14:paraId="43CC2089" w14:textId="4ED7EB33" w:rsidR="000E29C1" w:rsidRPr="007B278B" w:rsidRDefault="000E29C1" w:rsidP="007B278B">
      <w:pPr>
        <w:pStyle w:val="Titre5"/>
      </w:pPr>
      <w:r w:rsidRPr="007B278B">
        <w:t>Report et exonération pour des parts de sociétés de personne</w:t>
      </w:r>
    </w:p>
    <w:p w14:paraId="09091146" w14:textId="77777777" w:rsidR="000E29C1" w:rsidRPr="007B278B" w:rsidRDefault="000E29C1" w:rsidP="007B278B">
      <w:pPr>
        <w:pStyle w:val="CGPC-elearning"/>
      </w:pPr>
      <w:r w:rsidRPr="007B278B">
        <w:t>En application de l’article 151 nonies II du Code général des impôts, lorsqu’une personne physique transmet à titre gratuit à une personne physique des droits sociaux considérés comme des actifs affectés à l’exercice d’une profession, l’imposition des plus-values peut faire l’objet d’un report jusqu’à la date de cession, de rachat, d’annulation ou de transmission ultérieure de ces droits.</w:t>
      </w:r>
    </w:p>
    <w:p w14:paraId="3BE85451" w14:textId="77777777" w:rsidR="000E29C1" w:rsidRPr="007B278B" w:rsidRDefault="000E29C1" w:rsidP="007B278B">
      <w:pPr>
        <w:pStyle w:val="CGPC-elearning"/>
      </w:pPr>
      <w:r w:rsidRPr="007B278B">
        <w:t>Lorsque l’activité est poursuivie pendant au moins cinq ans à compter de la date de la transmission à titre gratuit, la plus-value en report est définitivement exonérée.</w:t>
      </w:r>
    </w:p>
    <w:p w14:paraId="5AF76F81" w14:textId="0C563D8E" w:rsidR="000E29C1" w:rsidRPr="007B278B" w:rsidRDefault="000E29C1" w:rsidP="007B278B">
      <w:pPr>
        <w:pStyle w:val="CGPC-elearning"/>
      </w:pPr>
      <w:r w:rsidRPr="007B278B">
        <w:rPr>
          <w:lang w:eastAsia="fr-FR"/>
        </w:rPr>
        <w:drawing>
          <wp:inline distT="0" distB="0" distL="0" distR="0" wp14:anchorId="6021B9C6" wp14:editId="2351988E">
            <wp:extent cx="201930" cy="201930"/>
            <wp:effectExtent l="0" t="0" r="7620" b="7620"/>
            <wp:docPr id="2063327568"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1930" cy="201930"/>
                    </a:xfrm>
                    <a:prstGeom prst="rect">
                      <a:avLst/>
                    </a:prstGeom>
                    <a:noFill/>
                    <a:ln>
                      <a:noFill/>
                    </a:ln>
                  </pic:spPr>
                </pic:pic>
              </a:graphicData>
            </a:graphic>
          </wp:inline>
        </w:drawing>
      </w:r>
      <w:r w:rsidRPr="007B278B">
        <w:rPr>
          <w:rStyle w:val="lev"/>
          <w:i/>
          <w:iCs/>
        </w:rPr>
        <w:t>Nota :</w:t>
      </w:r>
      <w:r w:rsidRPr="007B278B">
        <w:rPr>
          <w:rStyle w:val="Accentuation"/>
        </w:rPr>
        <w:t> les parts et actions de sociétés soumises à l’impôt sur les sociétés, de plein droit ou sur option, sont également considérées comme des actifs affectés à l’exercice d’une profession si leur propriétaire remplit les conditions suivantes :</w:t>
      </w:r>
    </w:p>
    <w:p w14:paraId="617D9E06" w14:textId="77777777" w:rsidR="000E29C1" w:rsidRPr="007B278B" w:rsidRDefault="000E29C1" w:rsidP="007B278B">
      <w:pPr>
        <w:pStyle w:val="CGPC-elearning"/>
      </w:pPr>
      <w:r w:rsidRPr="007B278B">
        <w:rPr>
          <w:rStyle w:val="Accentuation"/>
        </w:rPr>
        <w:t>être, soit gérant nommé conformément aux statuts d’une société à responsabilité limitée ou en commandite par actions, soit associé en nom d’une société de personnes, soit président, directeur général, président du conseil de surveillance ou membre du directoire d’une société par actions ;</w:t>
      </w:r>
    </w:p>
    <w:p w14:paraId="2B24372E" w14:textId="77777777" w:rsidR="000E29C1" w:rsidRPr="007B278B" w:rsidRDefault="000E29C1" w:rsidP="007B278B">
      <w:pPr>
        <w:pStyle w:val="CGPC-elearning"/>
      </w:pPr>
      <w:r w:rsidRPr="007B278B">
        <w:rPr>
          <w:rStyle w:val="Accentuation"/>
        </w:rPr>
        <w:t>bénéficier d’une rémunération représentant plus de la moitié des revenus à raison desquels l’intéressé est soumis à l’impôt sur le revenu dans les catégories des traitements et salaires, bénéfices industriels et commerciaux, bénéfices agricoles, bénéfices non commerciaux, revenus des gérants et associés mentionnés à l’article 62 du Code général des impôts ;</w:t>
      </w:r>
    </w:p>
    <w:p w14:paraId="2765A1E0" w14:textId="77777777" w:rsidR="000E29C1" w:rsidRPr="007B278B" w:rsidRDefault="000E29C1" w:rsidP="007B278B">
      <w:pPr>
        <w:pStyle w:val="CGPC-elearning"/>
      </w:pPr>
      <w:r w:rsidRPr="007B278B">
        <w:rPr>
          <w:rStyle w:val="Accentuation"/>
        </w:rPr>
        <w:lastRenderedPageBreak/>
        <w:t>posséder 25 % au moins des droits de vote attachés aux titres émis par la société, directement ou par l’intermédiaire de son conjoint ou de leurs ascendants ou descendants ou de leurs frères et sœurs.</w:t>
      </w:r>
    </w:p>
    <w:p w14:paraId="00FFD0C4" w14:textId="5F9003C5" w:rsidR="000E29C1" w:rsidRPr="007B278B" w:rsidRDefault="000E29C1" w:rsidP="007B278B">
      <w:pPr>
        <w:pStyle w:val="Titre4"/>
      </w:pPr>
      <w:r w:rsidRPr="007B278B">
        <w:t>La fiscalité applicable à l’héritier ou au domaine</w:t>
      </w:r>
    </w:p>
    <w:p w14:paraId="70F8A021" w14:textId="77777777" w:rsidR="000E29C1" w:rsidRPr="007B278B" w:rsidRDefault="000E29C1" w:rsidP="007B278B">
      <w:pPr>
        <w:pStyle w:val="CGPC-elearning"/>
      </w:pPr>
      <w:r w:rsidRPr="007B278B">
        <w:t>La transmission à titre gratuit d’une entreprise individuelle par le biais d’une succession ou d’une donation fait l’objet de droits de succession ou plus précisément de droits de mutation à titre gratuit.</w:t>
      </w:r>
    </w:p>
    <w:p w14:paraId="0D240349" w14:textId="77777777" w:rsidR="000E29C1" w:rsidRPr="007B278B" w:rsidRDefault="000E29C1" w:rsidP="007B278B">
      <w:pPr>
        <w:pStyle w:val="CGPC-elearning"/>
      </w:pPr>
      <w:r w:rsidRPr="007B278B">
        <w:t>Ceux-ci sont tels que prévus aux tarifs applicables en ligne directe, en ligne collatérale et entre personnes non parentes non liés par un pacs.</w:t>
      </w:r>
    </w:p>
    <w:p w14:paraId="399EB8C0" w14:textId="77777777" w:rsidR="000E29C1" w:rsidRPr="007B278B" w:rsidRDefault="000E29C1" w:rsidP="007B278B">
      <w:pPr>
        <w:pStyle w:val="CGPC-elearning"/>
      </w:pPr>
      <w:r w:rsidRPr="007B278B">
        <w:t>Les droits se calculent sur la valeur vénale de l’entreprise au jour du décès.</w:t>
      </w:r>
    </w:p>
    <w:p w14:paraId="19225E31" w14:textId="77777777" w:rsidR="000E29C1" w:rsidRPr="007B278B" w:rsidRDefault="000E29C1" w:rsidP="007B278B">
      <w:pPr>
        <w:pStyle w:val="CGPC-elearning"/>
      </w:pPr>
      <w:r w:rsidRPr="007B278B">
        <w:t>Cependant, en application de l’article 764 A du Code général des impôts et en cas de décès,</w:t>
      </w:r>
    </w:p>
    <w:p w14:paraId="5684395E" w14:textId="77777777" w:rsidR="000E29C1" w:rsidRPr="007B278B" w:rsidRDefault="000E29C1" w:rsidP="007B278B">
      <w:pPr>
        <w:pStyle w:val="CGPC-elearning"/>
      </w:pPr>
      <w:r w:rsidRPr="007B278B">
        <w:t>du gérant d’une société à responsabilité limitée ou d’une société en commandite par actions non cotée ;</w:t>
      </w:r>
    </w:p>
    <w:p w14:paraId="2999B480" w14:textId="77777777" w:rsidR="000E29C1" w:rsidRPr="007B278B" w:rsidRDefault="000E29C1" w:rsidP="007B278B">
      <w:pPr>
        <w:pStyle w:val="CGPC-elearning"/>
      </w:pPr>
      <w:r w:rsidRPr="007B278B">
        <w:t>de l’un des associés en nom d’une société de personnes ;</w:t>
      </w:r>
    </w:p>
    <w:p w14:paraId="08AE54D1" w14:textId="77777777" w:rsidR="000E29C1" w:rsidRPr="007B278B" w:rsidRDefault="000E29C1" w:rsidP="007B278B">
      <w:pPr>
        <w:pStyle w:val="CGPC-elearning"/>
      </w:pPr>
      <w:r w:rsidRPr="007B278B">
        <w:t>de l’une des personnes qui assument la direction générale d’une société par actions non cotée ;</w:t>
      </w:r>
    </w:p>
    <w:p w14:paraId="22F87FE3" w14:textId="77777777" w:rsidR="000E29C1" w:rsidRPr="007B278B" w:rsidRDefault="000E29C1" w:rsidP="007B278B">
      <w:pPr>
        <w:pStyle w:val="CGPC-elearning"/>
      </w:pPr>
      <w:r w:rsidRPr="007B278B">
        <w:t>de l’exploitant d’un fonds de commerce ou d’une clientèle ;</w:t>
      </w:r>
    </w:p>
    <w:p w14:paraId="324EF684" w14:textId="77777777" w:rsidR="000E29C1" w:rsidRPr="007B278B" w:rsidRDefault="000E29C1" w:rsidP="007B278B">
      <w:pPr>
        <w:pStyle w:val="CGPC-elearning"/>
      </w:pPr>
      <w:r w:rsidRPr="007B278B">
        <w:t>du titulaire d’un office public ou ministériel,</w:t>
      </w:r>
    </w:p>
    <w:p w14:paraId="1A53F1A2" w14:textId="77777777" w:rsidR="000E29C1" w:rsidRPr="007B278B" w:rsidRDefault="000E29C1" w:rsidP="007B278B">
      <w:pPr>
        <w:pStyle w:val="CGPC-elearning"/>
      </w:pPr>
      <w:r w:rsidRPr="007B278B">
        <w:t>il est tenu compte, pour la liquidation des droits de mutation par décès dus par ses héritiers, légataires ou donataires, de la dépréciation éventuelle résultant dudit décès et affectant la valeur des titres non cotés ou des actifs incorporels ainsi transmis.</w:t>
      </w:r>
    </w:p>
    <w:p w14:paraId="216998DD" w14:textId="7E9538E7" w:rsidR="000E29C1" w:rsidRPr="007B278B" w:rsidRDefault="000E29C1" w:rsidP="007B278B">
      <w:pPr>
        <w:pStyle w:val="Titre5"/>
        <w:numPr>
          <w:ilvl w:val="0"/>
          <w:numId w:val="17"/>
        </w:numPr>
      </w:pPr>
      <w:r w:rsidRPr="007B278B">
        <w:t xml:space="preserve">Application du </w:t>
      </w:r>
      <w:r w:rsidR="00081F20" w:rsidRPr="007B278B">
        <w:t>barème</w:t>
      </w:r>
      <w:r w:rsidRPr="007B278B">
        <w:t xml:space="preserve"> des droits de mutation</w:t>
      </w:r>
    </w:p>
    <w:p w14:paraId="6B1A14EC" w14:textId="77777777" w:rsidR="000E29C1" w:rsidRPr="007B278B" w:rsidRDefault="000E29C1" w:rsidP="007B278B">
      <w:pPr>
        <w:pStyle w:val="CGPC-elearning"/>
      </w:pPr>
      <w:r w:rsidRPr="007B278B">
        <w:t>Le calcul des droits est réalisé en tenant compte :</w:t>
      </w:r>
    </w:p>
    <w:p w14:paraId="62A19C3E" w14:textId="77777777" w:rsidR="000E29C1" w:rsidRPr="007B278B" w:rsidRDefault="000E29C1" w:rsidP="007B278B">
      <w:pPr>
        <w:pStyle w:val="CGPC-elearning"/>
      </w:pPr>
      <w:r w:rsidRPr="007B278B">
        <w:t>de l’actif nette taxable (actif – passif) de chaque héritier ;</w:t>
      </w:r>
    </w:p>
    <w:p w14:paraId="6CF3CFC3" w14:textId="77777777" w:rsidR="000E29C1" w:rsidRPr="007B278B" w:rsidRDefault="000E29C1" w:rsidP="007B278B">
      <w:pPr>
        <w:pStyle w:val="CGPC-elearning"/>
      </w:pPr>
      <w:r w:rsidRPr="007B278B">
        <w:t>de l’abattement personnel des héritiers ;</w:t>
      </w:r>
    </w:p>
    <w:p w14:paraId="6076527D" w14:textId="77777777" w:rsidR="000E29C1" w:rsidRPr="007B278B" w:rsidRDefault="000E29C1" w:rsidP="007B278B">
      <w:pPr>
        <w:pStyle w:val="CGPC-elearning"/>
      </w:pPr>
      <w:r w:rsidRPr="007B278B">
        <w:t>du tarif applicable en fonction de la qualité de l’héritier.</w:t>
      </w:r>
    </w:p>
    <w:p w14:paraId="36477FEB" w14:textId="268B8285" w:rsidR="000E29C1" w:rsidRPr="007B278B" w:rsidRDefault="000E29C1" w:rsidP="007B278B">
      <w:pPr>
        <w:pStyle w:val="Titre5"/>
      </w:pPr>
      <w:r w:rsidRPr="007B278B">
        <w:lastRenderedPageBreak/>
        <w:t>Les abattements</w:t>
      </w:r>
    </w:p>
    <w:p w14:paraId="70033388" w14:textId="77777777" w:rsidR="000E29C1" w:rsidRPr="007B278B" w:rsidRDefault="000E29C1" w:rsidP="007B278B">
      <w:pPr>
        <w:pStyle w:val="CGPC-elearning"/>
      </w:pPr>
      <w:r w:rsidRPr="007B278B">
        <w:t>Les héritiers peuvent bénéficier d’un abattement personnel en fonction de leur lien de parenté avec le défunt et de leur situation personnelle, à condition qu’ils ne l’aient pas utilisé dans les 15 années précédant le décès.</w:t>
      </w:r>
    </w:p>
    <w:p w14:paraId="45DCEE74" w14:textId="77777777" w:rsidR="000E29C1" w:rsidRPr="007B278B" w:rsidRDefault="000E29C1" w:rsidP="007B278B">
      <w:pPr>
        <w:pStyle w:val="CGPC-elearning"/>
      </w:pPr>
      <w:r w:rsidRPr="007B278B">
        <w:t>Cet abattement est de :</w:t>
      </w:r>
    </w:p>
    <w:p w14:paraId="47B4B055" w14:textId="77777777" w:rsidR="000E29C1" w:rsidRPr="007B278B" w:rsidRDefault="000E29C1" w:rsidP="007B278B">
      <w:pPr>
        <w:pStyle w:val="CGPC-elearning"/>
      </w:pPr>
      <w:r w:rsidRPr="007B278B">
        <w:t>100 000 € pour un enfant, un père ou une mère ;</w:t>
      </w:r>
    </w:p>
    <w:p w14:paraId="79DD7EB3" w14:textId="77777777" w:rsidR="000E29C1" w:rsidRPr="007B278B" w:rsidRDefault="000E29C1" w:rsidP="007B278B">
      <w:pPr>
        <w:pStyle w:val="CGPC-elearning"/>
      </w:pPr>
      <w:r w:rsidRPr="007B278B">
        <w:t>15 932 € pour un frère ou une sœur ;</w:t>
      </w:r>
    </w:p>
    <w:p w14:paraId="4152805B" w14:textId="77777777" w:rsidR="000E29C1" w:rsidRPr="007B278B" w:rsidRDefault="000E29C1" w:rsidP="007B278B">
      <w:pPr>
        <w:pStyle w:val="CGPC-elearning"/>
      </w:pPr>
      <w:r w:rsidRPr="007B278B">
        <w:t>7 967 € pour un neveu ou une nièce ;</w:t>
      </w:r>
    </w:p>
    <w:p w14:paraId="1512E91F" w14:textId="77777777" w:rsidR="000E29C1" w:rsidRPr="007B278B" w:rsidRDefault="000E29C1" w:rsidP="007B278B">
      <w:pPr>
        <w:pStyle w:val="CGPC-elearning"/>
      </w:pPr>
      <w:r w:rsidRPr="007B278B">
        <w:t>1 594 € si aucun autre abattement ne s’applique.</w:t>
      </w:r>
    </w:p>
    <w:p w14:paraId="1185F75F" w14:textId="77777777" w:rsidR="000E29C1" w:rsidRPr="007B278B" w:rsidRDefault="000E29C1" w:rsidP="007B278B">
      <w:pPr>
        <w:pStyle w:val="CGPC-elearning"/>
      </w:pPr>
      <w:r w:rsidRPr="007B278B">
        <w:t>Les personnes handicapées remplissant certaines conditions bénéficient d’un abattement supplémentaire de 159 325 €.</w:t>
      </w:r>
    </w:p>
    <w:p w14:paraId="5B6FB853" w14:textId="45DA58D6" w:rsidR="000E29C1" w:rsidRPr="007B278B" w:rsidRDefault="000E29C1" w:rsidP="007B278B">
      <w:pPr>
        <w:pStyle w:val="Titre5"/>
      </w:pPr>
      <w:r w:rsidRPr="007B278B">
        <w:t xml:space="preserve">Le </w:t>
      </w:r>
      <w:r w:rsidR="00081F20" w:rsidRPr="007B278B">
        <w:t>barème</w:t>
      </w:r>
      <w:r w:rsidRPr="007B278B">
        <w:t xml:space="preserve"> progressif applicable en fonction de la qualité de l’héritier</w:t>
      </w:r>
    </w:p>
    <w:p w14:paraId="67FF268F" w14:textId="77777777" w:rsidR="000E29C1" w:rsidRPr="007B278B" w:rsidRDefault="000E29C1" w:rsidP="007B278B">
      <w:pPr>
        <w:pStyle w:val="CGPC-elearning"/>
      </w:pPr>
      <w:r w:rsidRPr="007B278B">
        <w:t>Pour les héritiers en ligne directe (les enfants, petits-enfants ou arrière-petits-enfants (descendants) et les parents, grands-parents ou arrière-grands-parents (ascendants).</w:t>
      </w:r>
    </w:p>
    <w:p w14:paraId="4277370E" w14:textId="410B361B" w:rsidR="000E29C1" w:rsidRPr="007B278B" w:rsidRDefault="000E29C1" w:rsidP="007B278B">
      <w:pPr>
        <w:pStyle w:val="CGPC-elearning"/>
        <w:jc w:val="center"/>
      </w:pPr>
      <w:r w:rsidRPr="007B278B">
        <w:rPr>
          <w:lang w:eastAsia="fr-FR"/>
        </w:rPr>
        <w:drawing>
          <wp:inline distT="0" distB="0" distL="0" distR="0" wp14:anchorId="08E0BDEB" wp14:editId="62CC2A45">
            <wp:extent cx="7874758" cy="4006978"/>
            <wp:effectExtent l="0" t="0" r="0" b="0"/>
            <wp:docPr id="2002289438"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900541" cy="4020097"/>
                    </a:xfrm>
                    <a:prstGeom prst="rect">
                      <a:avLst/>
                    </a:prstGeom>
                    <a:noFill/>
                    <a:ln>
                      <a:noFill/>
                    </a:ln>
                  </pic:spPr>
                </pic:pic>
              </a:graphicData>
            </a:graphic>
          </wp:inline>
        </w:drawing>
      </w:r>
    </w:p>
    <w:p w14:paraId="7287FEA2" w14:textId="77777777" w:rsidR="000E29C1" w:rsidRPr="007B278B" w:rsidRDefault="000E29C1" w:rsidP="007B278B">
      <w:pPr>
        <w:pStyle w:val="CGPC-elearning"/>
      </w:pPr>
      <w:r w:rsidRPr="007B278B">
        <w:lastRenderedPageBreak/>
        <w:t>Pour les frères et sœurs</w:t>
      </w:r>
    </w:p>
    <w:p w14:paraId="664071EE" w14:textId="3E003269" w:rsidR="000E29C1" w:rsidRPr="007B278B" w:rsidRDefault="000E29C1" w:rsidP="007B278B">
      <w:pPr>
        <w:pStyle w:val="CGPC-elearning"/>
        <w:jc w:val="center"/>
      </w:pPr>
      <w:r w:rsidRPr="007B278B">
        <w:rPr>
          <w:lang w:eastAsia="fr-FR"/>
        </w:rPr>
        <w:drawing>
          <wp:inline distT="0" distB="0" distL="0" distR="0" wp14:anchorId="30E2A3CF" wp14:editId="0CD407A7">
            <wp:extent cx="7985778" cy="1487606"/>
            <wp:effectExtent l="0" t="0" r="0" b="0"/>
            <wp:docPr id="1231281081"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009260" cy="1491980"/>
                    </a:xfrm>
                    <a:prstGeom prst="rect">
                      <a:avLst/>
                    </a:prstGeom>
                    <a:noFill/>
                    <a:ln>
                      <a:noFill/>
                    </a:ln>
                  </pic:spPr>
                </pic:pic>
              </a:graphicData>
            </a:graphic>
          </wp:inline>
        </w:drawing>
      </w:r>
    </w:p>
    <w:p w14:paraId="515F92A6" w14:textId="77777777" w:rsidR="000E29C1" w:rsidRPr="007B278B" w:rsidRDefault="000E29C1" w:rsidP="007B278B">
      <w:pPr>
        <w:pStyle w:val="CGPC-elearning"/>
      </w:pPr>
      <w:r w:rsidRPr="007B278B">
        <w:t>Pour les parents jusqu’au 4</w:t>
      </w:r>
      <w:r w:rsidRPr="007B278B">
        <w:rPr>
          <w:vertAlign w:val="superscript"/>
        </w:rPr>
        <w:t>e</w:t>
      </w:r>
      <w:r w:rsidRPr="007B278B">
        <w:t> degré (inclus) : taux unique de 55 %.</w:t>
      </w:r>
    </w:p>
    <w:p w14:paraId="5A89C651" w14:textId="77777777" w:rsidR="000E29C1" w:rsidRPr="007B278B" w:rsidRDefault="000E29C1" w:rsidP="007B278B">
      <w:pPr>
        <w:pStyle w:val="CGPC-elearning"/>
      </w:pPr>
      <w:r w:rsidRPr="007B278B">
        <w:t>Pour les autres héritiers : taux unique de 60 %.</w:t>
      </w:r>
    </w:p>
    <w:p w14:paraId="7289ED5C" w14:textId="5C5BB6D6" w:rsidR="000E29C1" w:rsidRPr="007B278B" w:rsidRDefault="000E29C1" w:rsidP="007B278B">
      <w:pPr>
        <w:pStyle w:val="Titre5"/>
      </w:pPr>
      <w:r w:rsidRPr="007B278B">
        <w:t>Paiement différé et/ou fractionné des droits de mutation à titre gratuit portant sur des entreprises (CGI, ART. 397 A)</w:t>
      </w:r>
    </w:p>
    <w:p w14:paraId="3063DDC1" w14:textId="77777777" w:rsidR="000E29C1" w:rsidRPr="007B278B" w:rsidRDefault="000E29C1" w:rsidP="007B278B">
      <w:pPr>
        <w:pStyle w:val="CGPC-elearning"/>
      </w:pPr>
      <w:r w:rsidRPr="007B278B">
        <w:t>Le paiement des droits de mutation à titre gratuit peut être différé pendant cinq ans à compter de la date d’exigibilité des droits et, à l’expiration de ce délai, fractionné pendant dix ans lorsque les mutations portent :</w:t>
      </w:r>
    </w:p>
    <w:p w14:paraId="023F0E5B" w14:textId="77777777" w:rsidR="000E29C1" w:rsidRPr="007B278B" w:rsidRDefault="000E29C1" w:rsidP="007B278B">
      <w:pPr>
        <w:pStyle w:val="CGPC-elearning"/>
      </w:pPr>
      <w:r w:rsidRPr="007B278B">
        <w:t>sur l’ensemble des biens meubles et immeubles, corporels ou incorporels affectés à l’exploitation d’une entreprise individuelle ayant une activité industrielle, commerciale, artisanale, agricole ou libérale et exploitée par le donateur ou le défunt ;</w:t>
      </w:r>
    </w:p>
    <w:p w14:paraId="48167959" w14:textId="77777777" w:rsidR="000E29C1" w:rsidRPr="007B278B" w:rsidRDefault="000E29C1" w:rsidP="007B278B">
      <w:pPr>
        <w:pStyle w:val="CGPC-elearning"/>
      </w:pPr>
      <w:r w:rsidRPr="007B278B">
        <w:t>sur les parts sociales ou les actions d’une société ayant une activité industrielle, commerciale, artisanale, agricole ou libérale, non cotée en bourse, à condition que le bénéficiaire reçoive au moins 5 % du capital social.</w:t>
      </w:r>
    </w:p>
    <w:p w14:paraId="213A1F55" w14:textId="77777777" w:rsidR="000E29C1" w:rsidRPr="007B278B" w:rsidRDefault="000E29C1" w:rsidP="007B278B">
      <w:pPr>
        <w:pStyle w:val="CGPC-elearning"/>
      </w:pPr>
      <w:r w:rsidRPr="007B278B">
        <w:t>Les droits et taxes dont le paiement est fractionné ou différé donnent lieu au versement d’intérêts dont le taux est égal à celui de l’intérêt légal au jour de la demande de crédit. Toutefois, seule la première décimale est retenue. Ce taux est applicable pendant toute la durée du crédit.</w:t>
      </w:r>
    </w:p>
    <w:p w14:paraId="557E108E" w14:textId="27E64346" w:rsidR="00081F20" w:rsidRPr="007B278B" w:rsidRDefault="00081F20">
      <w:pPr>
        <w:jc w:val="left"/>
        <w:rPr>
          <w:rFonts w:cs="Open Sans"/>
          <w:bCs/>
          <w:color w:val="666666"/>
          <w:kern w:val="2"/>
          <w:szCs w:val="21"/>
          <w:bdr w:val="none" w:sz="0" w:space="0" w:color="auto" w:frame="1"/>
          <w14:ligatures w14:val="standardContextual"/>
        </w:rPr>
      </w:pPr>
      <w:r w:rsidRPr="007B278B">
        <w:br w:type="page"/>
      </w:r>
    </w:p>
    <w:p w14:paraId="2CB35E9C" w14:textId="46782C43" w:rsidR="00683E1B" w:rsidRPr="007B278B" w:rsidRDefault="00FC7031" w:rsidP="00683E1B">
      <w:r>
        <w:rPr>
          <w:noProof/>
          <w14:ligatures w14:val="standardContextual"/>
        </w:rPr>
        <w:lastRenderedPageBreak/>
        <mc:AlternateContent>
          <mc:Choice Requires="wps">
            <w:drawing>
              <wp:anchor distT="0" distB="0" distL="114300" distR="114300" simplePos="0" relativeHeight="251664896" behindDoc="1" locked="0" layoutInCell="1" allowOverlap="1" wp14:anchorId="0B46F084" wp14:editId="49B55C86">
                <wp:simplePos x="0" y="0"/>
                <wp:positionH relativeFrom="column">
                  <wp:posOffset>-914400</wp:posOffset>
                </wp:positionH>
                <wp:positionV relativeFrom="paragraph">
                  <wp:posOffset>-914400</wp:posOffset>
                </wp:positionV>
                <wp:extent cx="15220950" cy="10763250"/>
                <wp:effectExtent l="0" t="0" r="19050" b="19050"/>
                <wp:wrapNone/>
                <wp:docPr id="1672008093" name="Rectangle 6"/>
                <wp:cNvGraphicFramePr/>
                <a:graphic xmlns:a="http://schemas.openxmlformats.org/drawingml/2006/main">
                  <a:graphicData uri="http://schemas.microsoft.com/office/word/2010/wordprocessingShape">
                    <wps:wsp>
                      <wps:cNvSpPr/>
                      <wps:spPr>
                        <a:xfrm>
                          <a:off x="0" y="0"/>
                          <a:ext cx="15220950" cy="1076325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40CFBA" id="Rectangle 6" o:spid="_x0000_s1026" style="position:absolute;margin-left:-1in;margin-top:-1in;width:1198.5pt;height:847.5pt;z-index:-251651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" fillcolor="#4472c4 [3204]" strokecolor="#09101d [484]" strokeweight="1pt"/>
            </w:pict>
          </mc:Fallback>
        </mc:AlternateContent>
      </w:r>
    </w:p>
    <w:p w14:paraId="7FB2ECAA" w14:textId="77777777" w:rsidR="00683E1B" w:rsidRPr="007B278B" w:rsidRDefault="00683E1B" w:rsidP="00683E1B"/>
    <w:p w14:paraId="1B0A5073" w14:textId="77777777" w:rsidR="00683E1B" w:rsidRPr="007B278B" w:rsidRDefault="00683E1B" w:rsidP="00683E1B"/>
    <w:p w14:paraId="6EBE909A" w14:textId="77777777" w:rsidR="00683E1B" w:rsidRPr="007B278B" w:rsidRDefault="00683E1B" w:rsidP="00683E1B"/>
    <w:p w14:paraId="63BEF273" w14:textId="77777777" w:rsidR="00683E1B" w:rsidRPr="007B278B" w:rsidRDefault="00683E1B" w:rsidP="00683E1B"/>
    <w:p w14:paraId="46BA200F" w14:textId="77777777" w:rsidR="00683E1B" w:rsidRPr="007B278B" w:rsidRDefault="00683E1B" w:rsidP="00683E1B"/>
    <w:p w14:paraId="7D890F03" w14:textId="77777777" w:rsidR="00683E1B" w:rsidRPr="007B278B" w:rsidRDefault="00683E1B" w:rsidP="00683E1B"/>
    <w:p w14:paraId="5CD13E9E" w14:textId="77777777" w:rsidR="00683E1B" w:rsidRPr="007B278B" w:rsidRDefault="00683E1B" w:rsidP="00683E1B"/>
    <w:p w14:paraId="0107483E" w14:textId="77777777" w:rsidR="00683E1B" w:rsidRPr="007B278B" w:rsidRDefault="00683E1B" w:rsidP="00683E1B"/>
    <w:p w14:paraId="4DD0BBBF" w14:textId="625C110F" w:rsidR="00683E1B" w:rsidRPr="007B278B" w:rsidRDefault="000E29C1" w:rsidP="007B278B">
      <w:pPr>
        <w:pStyle w:val="Titre2"/>
      </w:pPr>
      <w:bookmarkStart w:id="3" w:name="_Toc186720066"/>
      <w:r w:rsidRPr="007B278B">
        <w:t>De la gestion de la transmission du patrimoine du chef ou dirigeant d’entreprise</w:t>
      </w:r>
      <w:bookmarkEnd w:id="3"/>
    </w:p>
    <w:p w14:paraId="09DE4701" w14:textId="77777777" w:rsidR="00683E1B" w:rsidRPr="007B278B" w:rsidRDefault="00683E1B" w:rsidP="007B278B">
      <w:pPr>
        <w:pStyle w:val="CGPC-elearning"/>
        <w:rPr>
          <w:rFonts w:eastAsiaTheme="majorEastAsia"/>
          <w:color w:val="3A5D9C"/>
          <w:sz w:val="48"/>
          <w:szCs w:val="26"/>
        </w:rPr>
      </w:pPr>
      <w:r w:rsidRPr="007B278B">
        <w:br w:type="page"/>
      </w:r>
    </w:p>
    <w:p w14:paraId="116D4C06" w14:textId="4E67DFC8" w:rsidR="00683E1B" w:rsidRPr="007B278B" w:rsidRDefault="00683E1B" w:rsidP="00683E1B">
      <w:pPr>
        <w:jc w:val="center"/>
      </w:pPr>
      <w:r w:rsidRPr="007B278B">
        <w:rPr>
          <w:rFonts w:cs="Open Sans"/>
          <w:color w:val="666666"/>
          <w:sz w:val="21"/>
          <w:szCs w:val="21"/>
        </w:rPr>
        <w:lastRenderedPageBreak/>
        <w:drawing>
          <wp:inline distT="0" distB="0" distL="0" distR="0" wp14:anchorId="0BD393DC" wp14:editId="4E5D4B0F">
            <wp:extent cx="12439650" cy="6983795"/>
            <wp:effectExtent l="533400" t="457200" r="800100" b="807720"/>
            <wp:docPr id="225224561" name="Image 32" descr="Une image contenant personne, habits, ordinateur, intéri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224561" name="Image 32" descr="Une image contenant personne, habits, ordinateur, intérieu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2447940" cy="6988449"/>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0200CC48" w14:textId="77777777" w:rsidR="00683E1B" w:rsidRPr="007B278B" w:rsidRDefault="00683E1B" w:rsidP="007B278B">
      <w:pPr>
        <w:pStyle w:val="CGPC-elearning"/>
      </w:pPr>
      <w:r w:rsidRPr="007B278B">
        <w:br w:type="page"/>
      </w:r>
    </w:p>
    <w:p w14:paraId="29C38F94" w14:textId="77777777" w:rsidR="000E29C1" w:rsidRPr="007B278B" w:rsidRDefault="000E29C1" w:rsidP="00683E1B"/>
    <w:p w14:paraId="3757ACE2" w14:textId="77777777" w:rsidR="00081F20" w:rsidRPr="007B278B" w:rsidRDefault="00081F20" w:rsidP="00081F20"/>
    <w:p w14:paraId="5BBF6D3F" w14:textId="10DB7F45" w:rsidR="000E29C1" w:rsidRPr="007B278B" w:rsidRDefault="000E29C1" w:rsidP="007B278B">
      <w:pPr>
        <w:pStyle w:val="Titre3"/>
        <w:numPr>
          <w:ilvl w:val="0"/>
          <w:numId w:val="18"/>
        </w:numPr>
      </w:pPr>
      <w:bookmarkStart w:id="4" w:name="_Toc186720067"/>
      <w:r w:rsidRPr="007B278B">
        <w:t>Anticipation et organisation de la transmission</w:t>
      </w:r>
      <w:bookmarkEnd w:id="4"/>
    </w:p>
    <w:p w14:paraId="5875C714" w14:textId="77777777" w:rsidR="00DF0886" w:rsidRPr="007B278B" w:rsidRDefault="00DF0886" w:rsidP="00DF0886">
      <w:pPr>
        <w:rPr>
          <w:lang w:eastAsia="fr-FR"/>
        </w:rPr>
      </w:pPr>
    </w:p>
    <w:p w14:paraId="59CEE213" w14:textId="024DF0ED" w:rsidR="000E29C1" w:rsidRPr="007B278B" w:rsidRDefault="000E29C1" w:rsidP="000E29C1">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2F8EC1E4" w14:textId="77777777" w:rsidR="00DF0886" w:rsidRPr="007B278B" w:rsidRDefault="00DF0886" w:rsidP="000E29C1">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70C3EB16" w14:textId="39633FAE" w:rsidR="000E29C1" w:rsidRPr="007B278B" w:rsidRDefault="000E29C1" w:rsidP="007B278B">
      <w:pPr>
        <w:pStyle w:val="CGPC-elearning"/>
      </w:pPr>
      <w:r w:rsidRPr="007B278B">
        <w:t>« Entre 2015 et 2025, on estime que la transmission devrait concerner environ 630 000 entreprises.</w:t>
      </w:r>
      <w:r w:rsidRPr="007B278B">
        <w:br/>
        <w:t>Or, plus de la moitié des entreprises concernées par la transmission finissent par fermer faute de repreneur… En effet, la clé de la transmission est l’anticipation (jusqu’à 5 années avant !) et la recherche de profils de repreneurs adaptés… »</w:t>
      </w:r>
    </w:p>
    <w:p w14:paraId="271E9252" w14:textId="77777777" w:rsidR="000E29C1" w:rsidRPr="007B278B" w:rsidRDefault="000E29C1" w:rsidP="007B278B">
      <w:pPr>
        <w:pStyle w:val="CGPC-elearning"/>
      </w:pPr>
      <w:r w:rsidRPr="007B278B">
        <w:rPr>
          <w:rStyle w:val="Accentuation"/>
        </w:rPr>
        <w:t>(Selon le rapport remis le 7 juillet 2015 à la demande du Premier Ministre par Fanny DOMBRE-COSTE, Députée de l’Hérault à Emmanuel MACRON, ministre de l’Économie, de l’Industrie et du Numérique et Martine PINVILLE, Secrétaire d’État chargée du Commerce, de l’Artisanat, de la Consommation, et de l’Économie sociale et solidaire)</w:t>
      </w:r>
    </w:p>
    <w:p w14:paraId="5AE019D8" w14:textId="124B9576" w:rsidR="000E29C1" w:rsidRPr="007B278B" w:rsidRDefault="000E29C1" w:rsidP="007B278B">
      <w:pPr>
        <w:pStyle w:val="Titre4"/>
        <w:numPr>
          <w:ilvl w:val="0"/>
          <w:numId w:val="19"/>
        </w:numPr>
      </w:pPr>
      <w:r w:rsidRPr="007B278B">
        <w:t>Utilisation du « Pacte Dutreil » pour les entreprises individuelles et les sociétés</w:t>
      </w:r>
    </w:p>
    <w:p w14:paraId="624C6D4D" w14:textId="57C1C294" w:rsidR="000E29C1" w:rsidRPr="007B278B" w:rsidRDefault="000E29C1" w:rsidP="007B278B">
      <w:pPr>
        <w:pStyle w:val="Titre5"/>
        <w:numPr>
          <w:ilvl w:val="0"/>
          <w:numId w:val="20"/>
        </w:numPr>
      </w:pPr>
      <w:r w:rsidRPr="007B278B">
        <w:t xml:space="preserve">Une réduction de 75% de l’assiette des droits de mutation (droits portant sur 25% de la valeur de l’entreprise) intervient en cas de transmission à titre gratuit d’une entreprise individuelle si les conditions dites du « Pacte </w:t>
      </w:r>
      <w:proofErr w:type="spellStart"/>
      <w:r w:rsidRPr="007B278B">
        <w:t>dutreil</w:t>
      </w:r>
      <w:proofErr w:type="spellEnd"/>
      <w:r w:rsidRPr="007B278B">
        <w:t xml:space="preserve"> » sont réunies</w:t>
      </w:r>
    </w:p>
    <w:p w14:paraId="290A0A27" w14:textId="77777777" w:rsidR="000E29C1" w:rsidRPr="007B278B" w:rsidRDefault="000E29C1" w:rsidP="007B278B">
      <w:pPr>
        <w:pStyle w:val="CGPC-elearning"/>
      </w:pPr>
      <w:r w:rsidRPr="007B278B">
        <w:t>Sur le fondement de l’article 787 C du Code général des impôts, les droits de mutation dus lors de la transmission par décès ou donation sont exonérés à concurrence de 75 % de la valeur de l’entreprise individuelle ayant une activité industrielle, commerciale, artisanale, agricole ou libéral si les conditions suivantes sont réunies :</w:t>
      </w:r>
    </w:p>
    <w:p w14:paraId="01343238" w14:textId="77777777" w:rsidR="000E29C1" w:rsidRPr="007B278B" w:rsidRDefault="000E29C1" w:rsidP="007B278B">
      <w:pPr>
        <w:pStyle w:val="CGPC-elearning"/>
      </w:pPr>
      <w:r w:rsidRPr="007B278B">
        <w:t>l’entreprise individuelle a été détenue depuis plus de deux ans par le défunt ou le donateur lorsqu’elle a été acquise à titre onéreux ;</w:t>
      </w:r>
    </w:p>
    <w:p w14:paraId="4A773CB9" w14:textId="77777777" w:rsidR="000E29C1" w:rsidRPr="007B278B" w:rsidRDefault="000E29C1" w:rsidP="007B278B">
      <w:pPr>
        <w:pStyle w:val="CGPC-elearning"/>
      </w:pPr>
      <w:r w:rsidRPr="007B278B">
        <w:t>chacun des héritiers, donataires ou légataires prend l’engagement pour lui et ses ayants cause à titre gratuit, de conserver l’ensemble des biens affectés à l’exploitation de l’entreprise pendant une durée de quatre ans à compter de la date de la transmission ;</w:t>
      </w:r>
    </w:p>
    <w:p w14:paraId="5B616FC1" w14:textId="77777777" w:rsidR="000E29C1" w:rsidRPr="007B278B" w:rsidRDefault="000E29C1" w:rsidP="007B278B">
      <w:pPr>
        <w:pStyle w:val="CGPC-elearning"/>
      </w:pPr>
      <w:r w:rsidRPr="007B278B">
        <w:t>l’un des héritiers, donataires ou légataires doit poursuivre effectivement l’exploitation pendant les trois années qui suivent la date de la transmission.</w:t>
      </w:r>
    </w:p>
    <w:p w14:paraId="44092FA8" w14:textId="2DEA12D1" w:rsidR="000E29C1" w:rsidRPr="007B278B" w:rsidRDefault="000E29C1" w:rsidP="007B278B">
      <w:pPr>
        <w:pStyle w:val="Titre5"/>
      </w:pPr>
      <w:r w:rsidRPr="007B278B">
        <w:lastRenderedPageBreak/>
        <w:t xml:space="preserve">Une réduction de 75% de l’assiette de droits de mutation (droits portant sur 25% de la valeur de l’entreprise) intervient en cas de transmission à titre gratuit d’une société si les conditions dites du « Pacte </w:t>
      </w:r>
      <w:proofErr w:type="spellStart"/>
      <w:r w:rsidRPr="007B278B">
        <w:t>dutreil</w:t>
      </w:r>
      <w:proofErr w:type="spellEnd"/>
      <w:r w:rsidRPr="007B278B">
        <w:t xml:space="preserve"> » sont réunies</w:t>
      </w:r>
    </w:p>
    <w:p w14:paraId="2F761321" w14:textId="77777777" w:rsidR="000E29C1" w:rsidRPr="007B278B" w:rsidRDefault="000E29C1" w:rsidP="007B278B">
      <w:pPr>
        <w:pStyle w:val="CGPC-elearning"/>
      </w:pPr>
      <w:r w:rsidRPr="007B278B">
        <w:t>Sur le fondement de l’article 787 B du Code général des impôts, sont exonérées de droits de mutation à titre gratuit, à concurrence de 75 % de leur valeur, les parts ou les actions d’une société ayant une activité industrielle, commerciale, artisanale, agricole ou libérale transmise par décès ou entre vifs si les conditions suivantes sont réunies :</w:t>
      </w:r>
    </w:p>
    <w:p w14:paraId="5FC89D52" w14:textId="77777777" w:rsidR="000E29C1" w:rsidRPr="007B278B" w:rsidRDefault="000E29C1" w:rsidP="007B278B">
      <w:pPr>
        <w:pStyle w:val="CGPC-elearning"/>
      </w:pPr>
      <w:r w:rsidRPr="007B278B">
        <w:t>les parts ou les actions doivent faire l’objet d’un engagement collectif de conservation d’une durée minimale de deux ans en cours au jour de la transmission, qui a été pris par le défunt ou le donateur, pour lui et ses ayants cause à titre gratuit, avec d’autres associés. Lorsque les parts ou actions transmises par décès n’ont pas fait l’objet d’un engagement collectif de conservation, un ou des héritiers ou légataires peuvent, entre eux ou avec d’autres associés, conclure dans les six mois qui suivent la transmission l’engagement prévu (engagement collectif posthume);</w:t>
      </w:r>
    </w:p>
    <w:p w14:paraId="2E4845CE" w14:textId="77777777" w:rsidR="000E29C1" w:rsidRPr="007B278B" w:rsidRDefault="000E29C1" w:rsidP="007B278B">
      <w:pPr>
        <w:pStyle w:val="CGPC-elearning"/>
      </w:pPr>
      <w:r w:rsidRPr="007B278B">
        <w:t>l’engagement collectif de conservation doit porter sur au moins 10 % des droits financiers et 20 % des droits de vote attachés aux titres émis par la société s’ils sont admis à la négociation sur un marché réglementé ou, à défaut, sur au moins 17 % des droits financiers et 34 % des droits de vote, y compris les parts ou actions transmises ;</w:t>
      </w:r>
    </w:p>
    <w:p w14:paraId="25AAC2B5" w14:textId="77777777" w:rsidR="000E29C1" w:rsidRPr="007B278B" w:rsidRDefault="000E29C1" w:rsidP="007B278B">
      <w:pPr>
        <w:pStyle w:val="CGPC-elearning"/>
      </w:pPr>
      <w:r w:rsidRPr="007B278B">
        <w:t>chacun des héritiers, donataires ou légataires prend l’engagement, pour lui et ses ayants cause à titre gratuit, de conserver les parts ou les actions transmises pendant une durée de quatre ans à compter de la date d’expiration de l’engagement collectif d’origine ;</w:t>
      </w:r>
    </w:p>
    <w:p w14:paraId="22FC6F8D" w14:textId="77777777" w:rsidR="000E29C1" w:rsidRPr="007B278B" w:rsidRDefault="000E29C1" w:rsidP="007B278B">
      <w:pPr>
        <w:pStyle w:val="CGPC-elearning"/>
      </w:pPr>
      <w:r w:rsidRPr="007B278B">
        <w:t>l’un des associés ayant souscrit l’engagement collectif de conservation ou l’un des héritiers doit exercer dans la société, pendant la durée minimum de l’engagement de deux ans et pendant les trois années qui suivent la date de la transmission, son activité professionnelle principale, ou l’une des fonctions de gérant nommé conformément aux statuts d’une société à responsabilité limitée ou en commandite par actions, d’associé en nom d’une société de personnes ou de président, directeur général, président du conseil de surveillance ou membre du directoire d’une société parc actions.</w:t>
      </w:r>
    </w:p>
    <w:p w14:paraId="495026E0" w14:textId="1BC91A71" w:rsidR="000E29C1" w:rsidRPr="007B278B" w:rsidRDefault="000E29C1" w:rsidP="007B278B">
      <w:pPr>
        <w:pStyle w:val="CGPC-elearning"/>
      </w:pPr>
      <w:r w:rsidRPr="007B278B">
        <w:rPr>
          <w:b/>
        </w:rPr>
        <w:br/>
      </w:r>
      <w:r w:rsidRPr="007B278B">
        <w:rPr>
          <w:b/>
          <w:lang w:eastAsia="fr-FR"/>
        </w:rPr>
        <w:drawing>
          <wp:inline distT="0" distB="0" distL="0" distR="0" wp14:anchorId="4B5EF1F7" wp14:editId="622AB75B">
            <wp:extent cx="249555" cy="166370"/>
            <wp:effectExtent l="0" t="0" r="0" b="5080"/>
            <wp:docPr id="1968478696"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9555" cy="166370"/>
                    </a:xfrm>
                    <a:prstGeom prst="rect">
                      <a:avLst/>
                    </a:prstGeom>
                    <a:noFill/>
                    <a:ln>
                      <a:noFill/>
                    </a:ln>
                  </pic:spPr>
                </pic:pic>
              </a:graphicData>
            </a:graphic>
          </wp:inline>
        </w:drawing>
      </w:r>
      <w:r w:rsidRPr="007B278B">
        <w:rPr>
          <w:rStyle w:val="lev"/>
          <w:i/>
          <w:iCs/>
        </w:rPr>
        <w:t>Exemple :</w:t>
      </w:r>
      <w:r w:rsidRPr="007B278B">
        <w:rPr>
          <w:rStyle w:val="Accentuation"/>
        </w:rPr>
        <w:t> un père de famille âgé de 60 ans souhaite donner en pleine propriété à ses trois enfants les parts d’une société exploitante d’une valeur de 10 millions d’euros.</w:t>
      </w:r>
      <w:r w:rsidRPr="007B278B">
        <w:br/>
      </w:r>
      <w:r w:rsidRPr="007B278B">
        <w:rPr>
          <w:rStyle w:val="Accentuation"/>
        </w:rPr>
        <w:t>Un engagement de conservation des parts de cette société a été signé.</w:t>
      </w:r>
    </w:p>
    <w:p w14:paraId="22F03120" w14:textId="77777777" w:rsidR="000E29C1" w:rsidRPr="007B278B" w:rsidRDefault="000E29C1" w:rsidP="007B278B">
      <w:pPr>
        <w:pStyle w:val="CGPC-elearning"/>
      </w:pPr>
      <w:r w:rsidRPr="007B278B">
        <w:rPr>
          <w:rStyle w:val="Accentuation"/>
        </w:rPr>
        <w:t>Après abattement de 75 % sur la valeur de la société, l’assiette taxable est de 2 500 000 € (valeur de 10 000 000 € diminuée de 75 %), soit 833 333 € pour chaque enfant (2 500 000 € / 3).</w:t>
      </w:r>
    </w:p>
    <w:p w14:paraId="7399529E" w14:textId="77777777" w:rsidR="000E29C1" w:rsidRPr="007B278B" w:rsidRDefault="000E29C1" w:rsidP="007B278B">
      <w:pPr>
        <w:pStyle w:val="CGPC-elearning"/>
      </w:pPr>
      <w:r w:rsidRPr="007B278B">
        <w:rPr>
          <w:rStyle w:val="Accentuation"/>
        </w:rPr>
        <w:t>Un abattement de 100 000 € par enfant est appliqué.</w:t>
      </w:r>
    </w:p>
    <w:p w14:paraId="5C0367DD" w14:textId="77777777" w:rsidR="000E29C1" w:rsidRPr="007B278B" w:rsidRDefault="000E29C1" w:rsidP="007B278B">
      <w:pPr>
        <w:pStyle w:val="CGPC-elearning"/>
      </w:pPr>
      <w:r w:rsidRPr="007B278B">
        <w:rPr>
          <w:rStyle w:val="Accentuation"/>
        </w:rPr>
        <w:t>Sur le plan fiscal, la part taxable de chaque enfant est de 733 333 €.</w:t>
      </w:r>
    </w:p>
    <w:p w14:paraId="09B47BDB" w14:textId="77777777" w:rsidR="000E29C1" w:rsidRPr="007B278B" w:rsidRDefault="000E29C1" w:rsidP="007B278B">
      <w:pPr>
        <w:pStyle w:val="CGPC-elearning"/>
      </w:pPr>
      <w:r w:rsidRPr="007B278B">
        <w:rPr>
          <w:rStyle w:val="Accentuation"/>
        </w:rPr>
        <w:t>Les droits à payer par enfant s’élèvent à 162 962 € (après application du barème progressif).</w:t>
      </w:r>
    </w:p>
    <w:p w14:paraId="6C00299E" w14:textId="77777777" w:rsidR="000E29C1" w:rsidRPr="007B278B" w:rsidRDefault="000E29C1" w:rsidP="007B278B">
      <w:pPr>
        <w:pStyle w:val="CGPC-elearning"/>
      </w:pPr>
      <w:r w:rsidRPr="007B278B">
        <w:rPr>
          <w:rStyle w:val="Accentuation"/>
        </w:rPr>
        <w:t>Le donateur ayant moins de 70 ans, un abattement de 50 % sur les droits est applicable en cas de transmission de la pleine propriété des parts sociales.</w:t>
      </w:r>
    </w:p>
    <w:p w14:paraId="5D4980EB" w14:textId="77777777" w:rsidR="000E29C1" w:rsidRPr="007B278B" w:rsidRDefault="000E29C1" w:rsidP="007B278B">
      <w:pPr>
        <w:pStyle w:val="CGPC-elearning"/>
      </w:pPr>
      <w:r w:rsidRPr="007B278B">
        <w:rPr>
          <w:rStyle w:val="Accentuation"/>
        </w:rPr>
        <w:lastRenderedPageBreak/>
        <w:t>Avec la réduction des droits de 50 %, le total des droits à payer pour les trois enfants s’élève à 244 443 € : (162 962 € – 50 %) x 3.</w:t>
      </w:r>
    </w:p>
    <w:p w14:paraId="67E38E36" w14:textId="77777777" w:rsidR="000E29C1" w:rsidRPr="007B278B" w:rsidRDefault="000E29C1" w:rsidP="007B278B">
      <w:pPr>
        <w:pStyle w:val="CGPC-elearning"/>
      </w:pPr>
      <w:r w:rsidRPr="007B278B">
        <w:rPr>
          <w:rStyle w:val="Accentuation"/>
        </w:rPr>
        <w:t>Sans le dispositif Dutreil, les droits pour les trois enfants se seraient élevés à 3 652 182 euros.</w:t>
      </w:r>
    </w:p>
    <w:p w14:paraId="1FD39B77" w14:textId="10862728" w:rsidR="000E29C1" w:rsidRPr="007B278B" w:rsidRDefault="000E29C1" w:rsidP="007B278B">
      <w:pPr>
        <w:pStyle w:val="Titre4"/>
      </w:pPr>
      <w:r w:rsidRPr="007B278B">
        <w:t>Utilisation de la donation en nue-propriété</w:t>
      </w:r>
    </w:p>
    <w:p w14:paraId="13FFE2A6" w14:textId="77777777" w:rsidR="000E29C1" w:rsidRPr="007B278B" w:rsidRDefault="000E29C1" w:rsidP="007B278B">
      <w:pPr>
        <w:pStyle w:val="CGPC-elearning"/>
      </w:pPr>
      <w:r w:rsidRPr="007B278B">
        <w:t>Le démembrement de la propriété permet la transmission de la nue-propriété de l’entreprise aux ayants droit, qui en deviendront pleins propriétaires lors du décès du donateur usufruitier.</w:t>
      </w:r>
    </w:p>
    <w:p w14:paraId="5AA6B98B" w14:textId="77777777" w:rsidR="000E29C1" w:rsidRPr="007B278B" w:rsidRDefault="000E29C1" w:rsidP="007B278B">
      <w:pPr>
        <w:pStyle w:val="CGPC-elearning"/>
      </w:pPr>
      <w:r w:rsidRPr="007B278B">
        <w:t>Le donateur, dirigeant d’entreprise, conserve l’usage et la jouissance du bien donné et les droits sont calculés uniquement sur la valeur de la nue-propriété qui dépend de l’âge de l’usufruitier.</w:t>
      </w:r>
    </w:p>
    <w:p w14:paraId="4928EF06" w14:textId="77777777" w:rsidR="000E29C1" w:rsidRPr="007B278B" w:rsidRDefault="000E29C1" w:rsidP="007B278B">
      <w:pPr>
        <w:pStyle w:val="CGPC-elearning"/>
      </w:pPr>
      <w:r w:rsidRPr="007B278B">
        <w:t>Conformément au I de l’article 669 du Code général des impôts, pour la liquidation des droits d’enregistrement et de la taxe de publicité foncière, la valeur de la nue-propriété et de l’usufruit est déterminée par une quotité de la valeur de la propriété entière, selon le barème ci-après.</w:t>
      </w:r>
    </w:p>
    <w:p w14:paraId="426697BD" w14:textId="77777777" w:rsidR="000E29C1" w:rsidRPr="007B278B" w:rsidRDefault="000E29C1" w:rsidP="007B278B">
      <w:pPr>
        <w:pStyle w:val="CGPC-elearning"/>
      </w:pPr>
      <w:r w:rsidRPr="007B278B">
        <w:t>Pour déterminer la valeur de la nue-propriété, il n’est tenu compte que des usufruits ouverts au jour de la mutation de cette nue-propriété.</w:t>
      </w:r>
    </w:p>
    <w:p w14:paraId="74D81056" w14:textId="1F665F99" w:rsidR="000E29C1" w:rsidRPr="007B278B" w:rsidRDefault="000E29C1" w:rsidP="007B278B">
      <w:pPr>
        <w:pStyle w:val="CGPC-elearning"/>
        <w:jc w:val="center"/>
      </w:pPr>
      <w:r w:rsidRPr="007B278B">
        <w:rPr>
          <w:lang w:eastAsia="fr-FR"/>
        </w:rPr>
        <w:drawing>
          <wp:inline distT="0" distB="0" distL="0" distR="0" wp14:anchorId="14756208" wp14:editId="5175A6EF">
            <wp:extent cx="9125071" cy="3562350"/>
            <wp:effectExtent l="0" t="0" r="0" b="0"/>
            <wp:docPr id="347978715"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132017" cy="3565062"/>
                    </a:xfrm>
                    <a:prstGeom prst="rect">
                      <a:avLst/>
                    </a:prstGeom>
                    <a:noFill/>
                    <a:ln>
                      <a:noFill/>
                    </a:ln>
                  </pic:spPr>
                </pic:pic>
              </a:graphicData>
            </a:graphic>
          </wp:inline>
        </w:drawing>
      </w:r>
    </w:p>
    <w:p w14:paraId="1FF7BBEA" w14:textId="10DF9A09" w:rsidR="000E29C1" w:rsidRPr="007B278B" w:rsidRDefault="000E29C1" w:rsidP="007B278B">
      <w:pPr>
        <w:pStyle w:val="CGPC-elearning"/>
      </w:pPr>
      <w:r w:rsidRPr="007B278B">
        <w:rPr>
          <w:lang w:eastAsia="fr-FR"/>
        </w:rPr>
        <w:drawing>
          <wp:inline distT="0" distB="0" distL="0" distR="0" wp14:anchorId="763E9A74" wp14:editId="27D0D09B">
            <wp:extent cx="332740" cy="225425"/>
            <wp:effectExtent l="0" t="0" r="0" b="3175"/>
            <wp:docPr id="395574877"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32740" cy="225425"/>
                    </a:xfrm>
                    <a:prstGeom prst="rect">
                      <a:avLst/>
                    </a:prstGeom>
                    <a:noFill/>
                    <a:ln>
                      <a:noFill/>
                    </a:ln>
                  </pic:spPr>
                </pic:pic>
              </a:graphicData>
            </a:graphic>
          </wp:inline>
        </w:drawing>
      </w:r>
      <w:r w:rsidRPr="007B278B">
        <w:rPr>
          <w:rStyle w:val="lev"/>
          <w:i/>
          <w:iCs/>
        </w:rPr>
        <w:t>Exemple</w:t>
      </w:r>
      <w:r w:rsidRPr="007B278B">
        <w:rPr>
          <w:rStyle w:val="Accentuation"/>
        </w:rPr>
        <w:t> d’une stratégie en 2 temps pour conserver les revenus et transmettre un capital </w:t>
      </w:r>
    </w:p>
    <w:p w14:paraId="7DF0BF78" w14:textId="77777777" w:rsidR="000E29C1" w:rsidRPr="007B278B" w:rsidRDefault="000E29C1" w:rsidP="007B278B">
      <w:pPr>
        <w:pStyle w:val="CGPC-elearning"/>
      </w:pPr>
      <w:r w:rsidRPr="007B278B">
        <w:rPr>
          <w:rStyle w:val="Accentuation"/>
        </w:rPr>
        <w:t>Démembrement des parts sociales de l’entreprise : Monet, veuf, âgé de 60 ans, propriétaire de l’entreprise Impression Soleil levant, effectue la donation en nue-propriété de son entreprise individuelle, estimée à 1 000 000 €, à ses 2 enfants.</w:t>
      </w:r>
    </w:p>
    <w:p w14:paraId="17EE5908" w14:textId="77777777" w:rsidR="000E29C1" w:rsidRPr="007B278B" w:rsidRDefault="000E29C1" w:rsidP="007B278B">
      <w:pPr>
        <w:pStyle w:val="CGPC-elearning"/>
      </w:pPr>
      <w:r w:rsidRPr="007B278B">
        <w:rPr>
          <w:rStyle w:val="Accentuation"/>
        </w:rPr>
        <w:lastRenderedPageBreak/>
        <w:t>Valeur en pleine propriété …………………………..  1 000 000</w:t>
      </w:r>
      <w:r w:rsidRPr="007B278B">
        <w:br/>
      </w:r>
      <w:r w:rsidRPr="007B278B">
        <w:rPr>
          <w:rStyle w:val="Accentuation"/>
        </w:rPr>
        <w:t>Valeur en nue-propriété ……………………………..      500 000 €</w:t>
      </w:r>
      <w:r w:rsidRPr="007B278B">
        <w:br/>
      </w:r>
      <w:r w:rsidRPr="007B278B">
        <w:rPr>
          <w:rStyle w:val="Accentuation"/>
        </w:rPr>
        <w:t>Base taxable par enfant ………………………………        250 000 €</w:t>
      </w:r>
      <w:r w:rsidRPr="007B278B">
        <w:br/>
      </w:r>
      <w:r w:rsidRPr="007B278B">
        <w:rPr>
          <w:rStyle w:val="Accentuation"/>
        </w:rPr>
        <w:t>Abattement individuel ………………………………..       100 000 €</w:t>
      </w:r>
      <w:r w:rsidRPr="007B278B">
        <w:br/>
      </w:r>
      <w:r w:rsidRPr="007B278B">
        <w:rPr>
          <w:rStyle w:val="Accentuation"/>
        </w:rPr>
        <w:t>Assiette taxable ………………………………………….        150 000 €</w:t>
      </w:r>
      <w:r w:rsidRPr="007B278B">
        <w:br/>
      </w:r>
      <w:r w:rsidRPr="007B278B">
        <w:rPr>
          <w:rStyle w:val="Accentuation"/>
          <w:b/>
          <w:bCs w:val="0"/>
        </w:rPr>
        <w:t>Droits à payer par enfant                                        28 194 €</w:t>
      </w:r>
    </w:p>
    <w:p w14:paraId="2DDA33E4" w14:textId="77777777" w:rsidR="000E29C1" w:rsidRPr="007B278B" w:rsidRDefault="000E29C1" w:rsidP="007B278B">
      <w:pPr>
        <w:pStyle w:val="CGPC-elearning"/>
      </w:pPr>
      <w:r w:rsidRPr="007B278B">
        <w:rPr>
          <w:rStyle w:val="Accentuation"/>
        </w:rPr>
        <w:t>2. Cession conjointe des titres démembrés sans répartition du prix de vente : Une fois la donation réalisée, M. Monet et ses enfants peuvent ensuite convenir de revendre simultanément l’usufruit et la nue-propriété de l’entreprise. Dans ce cas, le prix de vente, ainsi que l’imposition de la plus-value constatée, doivent, en principe, se répartir entre l’usufruitier et le nu-propriétaire selon la valeur respective de chacun de leurs droits. Mais par exception, les parties peuvent se mettre d’accord pour reporter l’usufruit sur le prix de vente. La totalité du prix de cession est alors attribuée à l’usufruitier (quasi-usufruit) qui bénéficie ainsi de l’entière disposition des capitaux, les nus-propriétaires disposant cependant à l’expiration de l’usufruit d’un droit de restitution (créance) à hauteur de la valeur estimée du bien à la date de restitution. </w:t>
      </w:r>
    </w:p>
    <w:p w14:paraId="27057D35" w14:textId="07E0A38F" w:rsidR="000E29C1" w:rsidRPr="007B278B" w:rsidRDefault="000E29C1" w:rsidP="007B278B">
      <w:pPr>
        <w:pStyle w:val="Titre4"/>
      </w:pPr>
      <w:r w:rsidRPr="007B278B">
        <w:t>Apport à une société holding des titres reçus par donation</w:t>
      </w:r>
    </w:p>
    <w:p w14:paraId="18A129C1" w14:textId="548C44A0" w:rsidR="000E29C1" w:rsidRPr="007B278B" w:rsidRDefault="000E29C1" w:rsidP="007B278B">
      <w:pPr>
        <w:pStyle w:val="Titre5"/>
        <w:numPr>
          <w:ilvl w:val="0"/>
          <w:numId w:val="21"/>
        </w:numPr>
      </w:pPr>
      <w:r w:rsidRPr="007B278B">
        <w:t>Définition d’une holding</w:t>
      </w:r>
    </w:p>
    <w:p w14:paraId="79CBA03C" w14:textId="77777777" w:rsidR="000E29C1" w:rsidRPr="007B278B" w:rsidRDefault="000E29C1" w:rsidP="007B278B">
      <w:pPr>
        <w:pStyle w:val="CGPC-elearning"/>
      </w:pPr>
      <w:r w:rsidRPr="007B278B">
        <w:t>Une holding est une société qui détient des actions ou des parts dans une (ou des) autre(s) société(s). Elle a comme principal objet la gestion de ces titres, mais elle peut aussi fournir des services à ses filiales. La holding est souvent utilisée dans le cas de reprise et de transmission d’entreprises, pour réaliser des placements, mais aussi pour augmenter l’influence économique et financière d’un groupe dans un secteur d’activité donné. C’est également une solution en matière d’optimisation fiscale.</w:t>
      </w:r>
    </w:p>
    <w:p w14:paraId="13CF16CF" w14:textId="77777777" w:rsidR="000E29C1" w:rsidRPr="007B278B" w:rsidRDefault="000E29C1" w:rsidP="007B278B">
      <w:pPr>
        <w:pStyle w:val="CGPC-elearning"/>
      </w:pPr>
      <w:r w:rsidRPr="007B278B">
        <w:t>Combinée avec l’apport à une société holding et un pacte </w:t>
      </w:r>
      <w:r w:rsidRPr="007B278B">
        <w:rPr>
          <w:rStyle w:val="Accentuation"/>
        </w:rPr>
        <w:t>Dutreil</w:t>
      </w:r>
      <w:r w:rsidRPr="007B278B">
        <w:t>, la donation-partage permet de transmettre à un seul enfant les parts d’une entreprise (avec une soulte à sa charge pour les autres enfants) tout en faisant bénéficier de la réduction des droits attachée au pacte </w:t>
      </w:r>
      <w:r w:rsidRPr="007B278B">
        <w:rPr>
          <w:rStyle w:val="Accentuation"/>
        </w:rPr>
        <w:t>Dutreil</w:t>
      </w:r>
      <w:r w:rsidRPr="007B278B">
        <w:t> l’ensemble de la fratrie et en faisant financer le paiement de la soulte par la nouvelle société holding…</w:t>
      </w:r>
    </w:p>
    <w:p w14:paraId="0AAAC42A" w14:textId="5E66C2E4" w:rsidR="000E29C1" w:rsidRPr="007B278B" w:rsidRDefault="000E29C1" w:rsidP="007B278B">
      <w:pPr>
        <w:pStyle w:val="Titre5"/>
      </w:pPr>
      <w:r w:rsidRPr="007B278B">
        <w:t>Une stratégie en 3 temps</w:t>
      </w:r>
    </w:p>
    <w:p w14:paraId="5434453D" w14:textId="77777777" w:rsidR="000E29C1" w:rsidRPr="007B278B" w:rsidRDefault="000E29C1" w:rsidP="007B278B">
      <w:pPr>
        <w:pStyle w:val="CGPC-elearning"/>
      </w:pPr>
      <w:r w:rsidRPr="007B278B">
        <w:rPr>
          <w:rStyle w:val="Accentuation"/>
          <w:i w:val="0"/>
          <w:iCs w:val="0"/>
        </w:rPr>
        <w:t>M. et Mme SONCAS ont 2 enfants, Julia et Frédéric.</w:t>
      </w:r>
    </w:p>
    <w:p w14:paraId="74512806" w14:textId="77777777" w:rsidR="000E29C1" w:rsidRPr="007B278B" w:rsidRDefault="000E29C1" w:rsidP="007B278B">
      <w:pPr>
        <w:pStyle w:val="CGPC-elearning"/>
      </w:pPr>
      <w:r w:rsidRPr="007B278B">
        <w:rPr>
          <w:rStyle w:val="Accentuation"/>
          <w:i w:val="0"/>
          <w:iCs w:val="0"/>
        </w:rPr>
        <w:t>Ils possèdent les titres de la SAS familiale SONCAS pour un montant estimé à 1 000 000 € et détiennent 200 000 € de liquidité.</w:t>
      </w:r>
    </w:p>
    <w:p w14:paraId="6879597A" w14:textId="77777777" w:rsidR="000E29C1" w:rsidRPr="007B278B" w:rsidRDefault="000E29C1" w:rsidP="007B278B">
      <w:pPr>
        <w:pStyle w:val="CGPC-elearning"/>
      </w:pPr>
      <w:r w:rsidRPr="007B278B">
        <w:rPr>
          <w:rStyle w:val="Accentuation"/>
          <w:i w:val="0"/>
          <w:iCs w:val="0"/>
        </w:rPr>
        <w:t>Il y a deux ans, un engagement collectif de conservation des titres a été signé sur les titres de la SAS SONCAS.</w:t>
      </w:r>
    </w:p>
    <w:p w14:paraId="126A7B5C" w14:textId="77777777" w:rsidR="000E29C1" w:rsidRPr="007B278B" w:rsidRDefault="000E29C1" w:rsidP="007B278B">
      <w:pPr>
        <w:pStyle w:val="CGPC-elearning"/>
      </w:pPr>
      <w:r w:rsidRPr="007B278B">
        <w:rPr>
          <w:rStyle w:val="Accentuation"/>
          <w:i w:val="0"/>
          <w:iCs w:val="0"/>
        </w:rPr>
        <w:t>Ils souhaitent donner 600 000 € à chacun de leurs deux enfants (1,2 M€ au total).</w:t>
      </w:r>
    </w:p>
    <w:p w14:paraId="1A0B2A54" w14:textId="77777777" w:rsidR="000E29C1" w:rsidRPr="007B278B" w:rsidRDefault="000E29C1" w:rsidP="007B278B">
      <w:pPr>
        <w:pStyle w:val="CGPC-elearning"/>
      </w:pPr>
      <w:r w:rsidRPr="007B278B">
        <w:rPr>
          <w:rStyle w:val="Accentuation"/>
          <w:i w:val="0"/>
          <w:iCs w:val="0"/>
        </w:rPr>
        <w:lastRenderedPageBreak/>
        <w:t>Seul Frédéric souhaite reprendre la société familiale SAS SONCAS.</w:t>
      </w:r>
    </w:p>
    <w:p w14:paraId="39638AF1" w14:textId="77777777" w:rsidR="000E29C1" w:rsidRPr="007B278B" w:rsidRDefault="000E29C1" w:rsidP="007B278B">
      <w:pPr>
        <w:pStyle w:val="CGPC-elearning"/>
      </w:pPr>
      <w:r w:rsidRPr="007B278B">
        <w:rPr>
          <w:rStyle w:val="Accentuation"/>
          <w:i w:val="0"/>
          <w:iCs w:val="0"/>
        </w:rPr>
        <w:t>Temps 1. Donation-partage</w:t>
      </w:r>
    </w:p>
    <w:p w14:paraId="3AD622C2" w14:textId="77777777" w:rsidR="000E29C1" w:rsidRPr="007B278B" w:rsidRDefault="000E29C1" w:rsidP="007B278B">
      <w:pPr>
        <w:pStyle w:val="CGPC-elearning"/>
      </w:pPr>
      <w:r w:rsidRPr="007B278B">
        <w:rPr>
          <w:rStyle w:val="Accentuation"/>
          <w:i w:val="0"/>
          <w:iCs w:val="0"/>
        </w:rPr>
        <w:t>Dans le cadre d’une donation-partage, les époux SONCAS attribuent 600 000 € à chacun des enfants.</w:t>
      </w:r>
      <w:r w:rsidRPr="007B278B">
        <w:br/>
      </w:r>
      <w:r w:rsidRPr="007B278B">
        <w:rPr>
          <w:rStyle w:val="Accentuation"/>
          <w:i w:val="0"/>
          <w:iCs w:val="0"/>
        </w:rPr>
        <w:t>Julia reçoit 200 000 € de liquidités et Frédéric reçoit les titres pour une valeur de 1 000 000 €, à charge pour lui de verser à sa sœur une soulte de 400 000 €.</w:t>
      </w:r>
    </w:p>
    <w:p w14:paraId="440032D6" w14:textId="77777777" w:rsidR="000E29C1" w:rsidRPr="007B278B" w:rsidRDefault="000E29C1" w:rsidP="007B278B">
      <w:pPr>
        <w:pStyle w:val="CGPC-elearning"/>
      </w:pPr>
      <w:r w:rsidRPr="007B278B">
        <w:rPr>
          <w:rStyle w:val="Accentuation"/>
          <w:i w:val="0"/>
          <w:iCs w:val="0"/>
        </w:rPr>
        <w:t>Par le dispositif « Dutreil » mis en place précédemment, un abattement de 75 % sera appliqué sur la valeur des titres pour déterminer les droits de succession.</w:t>
      </w:r>
    </w:p>
    <w:p w14:paraId="56AB04B9" w14:textId="77777777" w:rsidR="000E29C1" w:rsidRPr="007B278B" w:rsidRDefault="000E29C1" w:rsidP="007B278B">
      <w:pPr>
        <w:pStyle w:val="CGPC-elearning"/>
      </w:pPr>
      <w:r w:rsidRPr="007B278B">
        <w:rPr>
          <w:rStyle w:val="Accentuation"/>
          <w:i w:val="0"/>
          <w:iCs w:val="0"/>
        </w:rPr>
        <w:t>Temps 2. Création de la holding</w:t>
      </w:r>
    </w:p>
    <w:p w14:paraId="79E103E5" w14:textId="77777777" w:rsidR="000E29C1" w:rsidRPr="007B278B" w:rsidRDefault="000E29C1" w:rsidP="007B278B">
      <w:pPr>
        <w:pStyle w:val="CGPC-elearning"/>
      </w:pPr>
      <w:r w:rsidRPr="007B278B">
        <w:rPr>
          <w:rStyle w:val="Accentuation"/>
          <w:i w:val="0"/>
          <w:iCs w:val="0"/>
        </w:rPr>
        <w:t>Frédéric apporte à une holding nouvellement créée (« DIMO ») les titres de la SAS SONCAS qu’il a reçu par donation avec prise en charge de la soulte de 400 000 € par la holding.</w:t>
      </w:r>
    </w:p>
    <w:p w14:paraId="485F6E76" w14:textId="77777777" w:rsidR="000E29C1" w:rsidRPr="007B278B" w:rsidRDefault="000E29C1" w:rsidP="007B278B">
      <w:pPr>
        <w:pStyle w:val="CGPC-elearning"/>
        <w:rPr>
          <w:rStyle w:val="Accentuation"/>
        </w:rPr>
      </w:pPr>
      <w:r w:rsidRPr="007B278B">
        <w:rPr>
          <w:rStyle w:val="Accentuation"/>
          <w:i w:val="0"/>
          <w:iCs w:val="0"/>
        </w:rPr>
        <w:t>Le bilan de la holding « DIMO » sera le suivant :</w:t>
      </w:r>
    </w:p>
    <w:tbl>
      <w:tblPr>
        <w:tblW w:w="8660" w:type="dxa"/>
        <w:jc w:val="center"/>
        <w:tblLook w:val="04A0" w:firstRow="1" w:lastRow="0" w:firstColumn="1" w:lastColumn="0" w:noHBand="0" w:noVBand="1"/>
      </w:tblPr>
      <w:tblGrid>
        <w:gridCol w:w="4240"/>
        <w:gridCol w:w="4420"/>
      </w:tblGrid>
      <w:tr w:rsidR="007B278B" w:rsidRPr="007B278B" w14:paraId="01B058A6" w14:textId="77777777" w:rsidTr="007B278B">
        <w:trPr>
          <w:trHeight w:val="555"/>
          <w:jc w:val="center"/>
        </w:trPr>
        <w:tc>
          <w:tcPr>
            <w:tcW w:w="4240" w:type="dxa"/>
            <w:tcBorders>
              <w:top w:val="single" w:sz="4" w:space="0" w:color="156082"/>
              <w:left w:val="single" w:sz="4" w:space="0" w:color="156082"/>
              <w:bottom w:val="nil"/>
              <w:right w:val="nil"/>
            </w:tcBorders>
            <w:shd w:val="clear" w:color="156082" w:fill="156082"/>
            <w:noWrap/>
            <w:vAlign w:val="bottom"/>
            <w:hideMark/>
          </w:tcPr>
          <w:p w14:paraId="0DE89075" w14:textId="77777777" w:rsidR="007B278B" w:rsidRPr="007B278B" w:rsidRDefault="007B278B" w:rsidP="007B278B">
            <w:pPr>
              <w:spacing w:after="0" w:line="240" w:lineRule="auto"/>
              <w:jc w:val="center"/>
              <w:rPr>
                <w:rFonts w:ascii="Aptos Narrow" w:eastAsia="Times New Roman" w:hAnsi="Aptos Narrow" w:cs="Times New Roman"/>
                <w:b/>
                <w:bCs/>
                <w:color w:val="FFFFFF"/>
                <w:szCs w:val="28"/>
              </w:rPr>
            </w:pPr>
            <w:r w:rsidRPr="007B278B">
              <w:rPr>
                <w:rFonts w:ascii="Aptos Narrow" w:eastAsia="Times New Roman" w:hAnsi="Aptos Narrow" w:cs="Times New Roman"/>
                <w:b/>
                <w:bCs/>
                <w:color w:val="FFFFFF"/>
                <w:szCs w:val="28"/>
              </w:rPr>
              <w:t>Actif</w:t>
            </w:r>
          </w:p>
        </w:tc>
        <w:tc>
          <w:tcPr>
            <w:tcW w:w="4420" w:type="dxa"/>
            <w:tcBorders>
              <w:top w:val="single" w:sz="4" w:space="0" w:color="156082"/>
              <w:left w:val="nil"/>
              <w:bottom w:val="nil"/>
              <w:right w:val="single" w:sz="4" w:space="0" w:color="156082"/>
            </w:tcBorders>
            <w:shd w:val="clear" w:color="156082" w:fill="156082"/>
            <w:noWrap/>
            <w:vAlign w:val="bottom"/>
            <w:hideMark/>
          </w:tcPr>
          <w:p w14:paraId="2DFA9845" w14:textId="77777777" w:rsidR="007B278B" w:rsidRPr="007B278B" w:rsidRDefault="007B278B" w:rsidP="007B278B">
            <w:pPr>
              <w:spacing w:after="0" w:line="240" w:lineRule="auto"/>
              <w:jc w:val="center"/>
              <w:rPr>
                <w:rFonts w:ascii="Aptos Narrow" w:eastAsia="Times New Roman" w:hAnsi="Aptos Narrow" w:cs="Times New Roman"/>
                <w:b/>
                <w:bCs/>
                <w:color w:val="FFFFFF"/>
                <w:szCs w:val="28"/>
              </w:rPr>
            </w:pPr>
            <w:r w:rsidRPr="007B278B">
              <w:rPr>
                <w:rFonts w:ascii="Aptos Narrow" w:eastAsia="Times New Roman" w:hAnsi="Aptos Narrow" w:cs="Times New Roman"/>
                <w:b/>
                <w:bCs/>
                <w:color w:val="FFFFFF"/>
                <w:szCs w:val="28"/>
              </w:rPr>
              <w:t>Passif</w:t>
            </w:r>
          </w:p>
        </w:tc>
      </w:tr>
      <w:tr w:rsidR="007B278B" w:rsidRPr="007B278B" w14:paraId="3C1CA322" w14:textId="77777777" w:rsidTr="007B278B">
        <w:trPr>
          <w:trHeight w:val="555"/>
          <w:jc w:val="center"/>
        </w:trPr>
        <w:tc>
          <w:tcPr>
            <w:tcW w:w="4240" w:type="dxa"/>
            <w:tcBorders>
              <w:top w:val="single" w:sz="4" w:space="0" w:color="156082"/>
              <w:left w:val="single" w:sz="4" w:space="0" w:color="156082"/>
              <w:bottom w:val="nil"/>
              <w:right w:val="nil"/>
            </w:tcBorders>
            <w:shd w:val="clear" w:color="auto" w:fill="auto"/>
            <w:noWrap/>
            <w:vAlign w:val="bottom"/>
            <w:hideMark/>
          </w:tcPr>
          <w:p w14:paraId="65459A04" w14:textId="77777777" w:rsidR="007B278B" w:rsidRPr="007B278B" w:rsidRDefault="007B278B" w:rsidP="007B278B">
            <w:pPr>
              <w:spacing w:after="0" w:line="240" w:lineRule="auto"/>
              <w:jc w:val="left"/>
              <w:rPr>
                <w:rFonts w:ascii="Aptos Narrow" w:eastAsia="Times New Roman" w:hAnsi="Aptos Narrow" w:cs="Times New Roman"/>
                <w:color w:val="000000"/>
                <w:szCs w:val="28"/>
              </w:rPr>
            </w:pPr>
            <w:r w:rsidRPr="007B278B">
              <w:rPr>
                <w:rFonts w:ascii="Aptos Narrow" w:eastAsia="Times New Roman" w:hAnsi="Aptos Narrow" w:cs="Times New Roman"/>
                <w:color w:val="000000"/>
                <w:szCs w:val="28"/>
              </w:rPr>
              <w:t>Titres SAS SONCAS 1 000 000 €</w:t>
            </w:r>
          </w:p>
        </w:tc>
        <w:tc>
          <w:tcPr>
            <w:tcW w:w="4420" w:type="dxa"/>
            <w:tcBorders>
              <w:top w:val="single" w:sz="4" w:space="0" w:color="156082"/>
              <w:left w:val="nil"/>
              <w:bottom w:val="nil"/>
              <w:right w:val="single" w:sz="4" w:space="0" w:color="156082"/>
            </w:tcBorders>
            <w:shd w:val="clear" w:color="auto" w:fill="auto"/>
            <w:noWrap/>
            <w:vAlign w:val="bottom"/>
            <w:hideMark/>
          </w:tcPr>
          <w:p w14:paraId="3A3270C2" w14:textId="77777777" w:rsidR="007B278B" w:rsidRPr="007B278B" w:rsidRDefault="007B278B" w:rsidP="007B278B">
            <w:pPr>
              <w:spacing w:after="0" w:line="240" w:lineRule="auto"/>
              <w:jc w:val="left"/>
              <w:rPr>
                <w:rFonts w:ascii="Aptos Narrow" w:eastAsia="Times New Roman" w:hAnsi="Aptos Narrow" w:cs="Times New Roman"/>
                <w:color w:val="000000"/>
                <w:szCs w:val="28"/>
              </w:rPr>
            </w:pPr>
            <w:r w:rsidRPr="007B278B">
              <w:rPr>
                <w:rFonts w:ascii="Aptos Narrow" w:eastAsia="Times New Roman" w:hAnsi="Aptos Narrow" w:cs="Times New Roman"/>
                <w:color w:val="000000"/>
                <w:szCs w:val="28"/>
              </w:rPr>
              <w:t>Capital social 600 000 €</w:t>
            </w:r>
          </w:p>
        </w:tc>
      </w:tr>
      <w:tr w:rsidR="007B278B" w:rsidRPr="007B278B" w14:paraId="2BBF13A3" w14:textId="77777777" w:rsidTr="007B278B">
        <w:trPr>
          <w:trHeight w:val="555"/>
          <w:jc w:val="center"/>
        </w:trPr>
        <w:tc>
          <w:tcPr>
            <w:tcW w:w="4240" w:type="dxa"/>
            <w:tcBorders>
              <w:top w:val="single" w:sz="4" w:space="0" w:color="156082"/>
              <w:left w:val="single" w:sz="4" w:space="0" w:color="156082"/>
              <w:bottom w:val="nil"/>
              <w:right w:val="nil"/>
            </w:tcBorders>
            <w:shd w:val="clear" w:color="auto" w:fill="auto"/>
            <w:noWrap/>
            <w:vAlign w:val="bottom"/>
            <w:hideMark/>
          </w:tcPr>
          <w:p w14:paraId="31AB3555" w14:textId="77777777" w:rsidR="007B278B" w:rsidRPr="007B278B" w:rsidRDefault="007B278B" w:rsidP="007B278B">
            <w:pPr>
              <w:spacing w:after="0" w:line="240" w:lineRule="auto"/>
              <w:jc w:val="left"/>
              <w:rPr>
                <w:rFonts w:ascii="Aptos Narrow" w:eastAsia="Times New Roman" w:hAnsi="Aptos Narrow" w:cs="Times New Roman"/>
                <w:color w:val="000000"/>
                <w:szCs w:val="28"/>
              </w:rPr>
            </w:pPr>
          </w:p>
        </w:tc>
        <w:tc>
          <w:tcPr>
            <w:tcW w:w="4420" w:type="dxa"/>
            <w:tcBorders>
              <w:top w:val="single" w:sz="4" w:space="0" w:color="156082"/>
              <w:left w:val="nil"/>
              <w:bottom w:val="nil"/>
              <w:right w:val="single" w:sz="4" w:space="0" w:color="156082"/>
            </w:tcBorders>
            <w:shd w:val="clear" w:color="auto" w:fill="auto"/>
            <w:noWrap/>
            <w:vAlign w:val="bottom"/>
            <w:hideMark/>
          </w:tcPr>
          <w:p w14:paraId="1029B986" w14:textId="77777777" w:rsidR="007B278B" w:rsidRPr="007B278B" w:rsidRDefault="007B278B" w:rsidP="007B278B">
            <w:pPr>
              <w:spacing w:after="0" w:line="240" w:lineRule="auto"/>
              <w:jc w:val="left"/>
              <w:rPr>
                <w:rFonts w:ascii="Aptos Narrow" w:eastAsia="Times New Roman" w:hAnsi="Aptos Narrow" w:cs="Times New Roman"/>
                <w:color w:val="000000"/>
                <w:szCs w:val="28"/>
              </w:rPr>
            </w:pPr>
            <w:r w:rsidRPr="007B278B">
              <w:rPr>
                <w:rFonts w:ascii="Aptos Narrow" w:eastAsia="Times New Roman" w:hAnsi="Aptos Narrow" w:cs="Times New Roman"/>
                <w:color w:val="000000"/>
                <w:szCs w:val="28"/>
              </w:rPr>
              <w:t>Compte courant (dette) 400 000€</w:t>
            </w:r>
          </w:p>
        </w:tc>
      </w:tr>
      <w:tr w:rsidR="007B278B" w:rsidRPr="007B278B" w14:paraId="4C156A36" w14:textId="77777777" w:rsidTr="007B278B">
        <w:trPr>
          <w:trHeight w:val="555"/>
          <w:jc w:val="center"/>
        </w:trPr>
        <w:tc>
          <w:tcPr>
            <w:tcW w:w="4240" w:type="dxa"/>
            <w:tcBorders>
              <w:top w:val="single" w:sz="4" w:space="0" w:color="156082"/>
              <w:left w:val="single" w:sz="4" w:space="0" w:color="156082"/>
              <w:bottom w:val="single" w:sz="4" w:space="0" w:color="156082"/>
              <w:right w:val="nil"/>
            </w:tcBorders>
            <w:shd w:val="clear" w:color="auto" w:fill="auto"/>
            <w:noWrap/>
            <w:vAlign w:val="bottom"/>
            <w:hideMark/>
          </w:tcPr>
          <w:p w14:paraId="5C611267" w14:textId="77777777" w:rsidR="007B278B" w:rsidRPr="007B278B" w:rsidRDefault="007B278B" w:rsidP="007B278B">
            <w:pPr>
              <w:spacing w:after="0" w:line="240" w:lineRule="auto"/>
              <w:jc w:val="center"/>
              <w:rPr>
                <w:rFonts w:ascii="Aptos Narrow" w:eastAsia="Times New Roman" w:hAnsi="Aptos Narrow" w:cs="Times New Roman"/>
                <w:b/>
                <w:bCs/>
                <w:color w:val="000000"/>
                <w:szCs w:val="28"/>
              </w:rPr>
            </w:pPr>
            <w:r w:rsidRPr="007B278B">
              <w:rPr>
                <w:rFonts w:ascii="Aptos Narrow" w:eastAsia="Times New Roman" w:hAnsi="Aptos Narrow" w:cs="Times New Roman"/>
                <w:b/>
                <w:bCs/>
                <w:color w:val="000000"/>
                <w:szCs w:val="28"/>
              </w:rPr>
              <w:t>Total</w:t>
            </w:r>
          </w:p>
        </w:tc>
        <w:tc>
          <w:tcPr>
            <w:tcW w:w="4420" w:type="dxa"/>
            <w:tcBorders>
              <w:top w:val="single" w:sz="4" w:space="0" w:color="156082"/>
              <w:left w:val="nil"/>
              <w:bottom w:val="single" w:sz="4" w:space="0" w:color="156082"/>
              <w:right w:val="single" w:sz="4" w:space="0" w:color="156082"/>
            </w:tcBorders>
            <w:shd w:val="clear" w:color="auto" w:fill="auto"/>
            <w:noWrap/>
            <w:vAlign w:val="bottom"/>
            <w:hideMark/>
          </w:tcPr>
          <w:p w14:paraId="130BF07B" w14:textId="77777777" w:rsidR="007B278B" w:rsidRPr="007B278B" w:rsidRDefault="007B278B" w:rsidP="007B278B">
            <w:pPr>
              <w:spacing w:after="0" w:line="240" w:lineRule="auto"/>
              <w:jc w:val="center"/>
              <w:rPr>
                <w:rFonts w:ascii="Aptos Narrow" w:eastAsia="Times New Roman" w:hAnsi="Aptos Narrow" w:cs="Times New Roman"/>
                <w:b/>
                <w:bCs/>
                <w:color w:val="000000"/>
                <w:szCs w:val="28"/>
              </w:rPr>
            </w:pPr>
            <w:r w:rsidRPr="007B278B">
              <w:rPr>
                <w:rFonts w:ascii="Aptos Narrow" w:eastAsia="Times New Roman" w:hAnsi="Aptos Narrow" w:cs="Times New Roman"/>
                <w:b/>
                <w:bCs/>
                <w:color w:val="000000"/>
                <w:szCs w:val="28"/>
              </w:rPr>
              <w:t>1 000 000 €</w:t>
            </w:r>
          </w:p>
        </w:tc>
      </w:tr>
    </w:tbl>
    <w:p w14:paraId="185C63B6" w14:textId="77777777" w:rsidR="007B278B" w:rsidRPr="007B278B" w:rsidRDefault="007B278B" w:rsidP="007B278B">
      <w:pPr>
        <w:pStyle w:val="CGPC-elearning"/>
      </w:pPr>
    </w:p>
    <w:p w14:paraId="04F1067F" w14:textId="77777777" w:rsidR="000E29C1" w:rsidRPr="007B278B" w:rsidRDefault="000E29C1" w:rsidP="007B278B">
      <w:pPr>
        <w:pStyle w:val="CGPC-elearning"/>
      </w:pPr>
      <w:r w:rsidRPr="007B278B">
        <w:rPr>
          <w:rStyle w:val="Accentuation"/>
          <w:i w:val="0"/>
          <w:iCs w:val="0"/>
        </w:rPr>
        <w:t>Temps 3. Paiement de la soulte</w:t>
      </w:r>
    </w:p>
    <w:p w14:paraId="2D92F4DA" w14:textId="77777777" w:rsidR="000E29C1" w:rsidRPr="007B278B" w:rsidRDefault="000E29C1" w:rsidP="007B278B">
      <w:pPr>
        <w:pStyle w:val="CGPC-elearning"/>
      </w:pPr>
      <w:r w:rsidRPr="007B278B">
        <w:rPr>
          <w:rStyle w:val="Accentuation"/>
          <w:i w:val="0"/>
          <w:iCs w:val="0"/>
        </w:rPr>
        <w:t>La société holding contractera un prêt de 400 000 € afin de payer la soulte à Julia. L’emprunt sera remboursé par la remontée des dividendes de la SAS SONCAS à des conditions fiscales avantageuses grâce au régime des sociétés mère-fille ou au régime de l’intégration fiscale.</w:t>
      </w:r>
    </w:p>
    <w:p w14:paraId="79C82A4E" w14:textId="77777777" w:rsidR="000E29C1" w:rsidRPr="007B278B" w:rsidRDefault="000E29C1" w:rsidP="007B278B">
      <w:pPr>
        <w:pStyle w:val="CGPC-elearning"/>
      </w:pPr>
      <w:r w:rsidRPr="007B278B">
        <w:rPr>
          <w:rStyle w:val="Accentuation"/>
          <w:i w:val="0"/>
          <w:iCs w:val="0"/>
        </w:rPr>
        <w:t>Le régime des sociétés mère-fille permet à la société holding de bénéficier d’une exonération de l’impôt sur les sociétés, sous réserve de la réintégration d’une quote-part de frais et charges fixée forfaitairement à 5 % du produit total des participations (CGI, art. 145 et 216).</w:t>
      </w:r>
    </w:p>
    <w:p w14:paraId="0F0BEDBF" w14:textId="77777777" w:rsidR="000E29C1" w:rsidRPr="007B278B" w:rsidRDefault="000E29C1" w:rsidP="007B278B">
      <w:pPr>
        <w:pStyle w:val="CGPC-elearning"/>
      </w:pPr>
      <w:r w:rsidRPr="007B278B">
        <w:rPr>
          <w:rStyle w:val="Accentuation"/>
          <w:i w:val="0"/>
          <w:iCs w:val="0"/>
        </w:rPr>
        <w:t>Pour être éligible à ce régime, la société mère doit détenir depuis au moins deux ans 5 % des titres de la filiale ou, à défaut, prendre l’engagement de conserver au moins 5% des titres de la filiale pendant deux ans.</w:t>
      </w:r>
    </w:p>
    <w:p w14:paraId="57AC7228" w14:textId="77777777" w:rsidR="000E29C1" w:rsidRPr="007B278B" w:rsidRDefault="000E29C1" w:rsidP="007B278B">
      <w:pPr>
        <w:pStyle w:val="CGPC-elearning"/>
      </w:pPr>
      <w:r w:rsidRPr="007B278B">
        <w:rPr>
          <w:rStyle w:val="Accentuation"/>
          <w:i w:val="0"/>
          <w:iCs w:val="0"/>
        </w:rPr>
        <w:t>Le régime de l’« intégration fiscale » consiste à regrouper le paiement de l’impôt sur les bénéfices. Ainsi, tous les bénéfices, comme les pertes d’ailleurs, des sociétés d’une holding sont imposés en même temps, ce qui permet d’équilibrer des situations différentes entre entreprises détenues et finalement de payer moins d’impôt. </w:t>
      </w:r>
    </w:p>
    <w:p w14:paraId="5DD4A932" w14:textId="3897DC21" w:rsidR="00C12BC9" w:rsidRPr="00683E1B" w:rsidRDefault="000E29C1" w:rsidP="007B278B">
      <w:pPr>
        <w:pStyle w:val="CGPC-elearning"/>
      </w:pPr>
      <w:r w:rsidRPr="007B278B">
        <w:rPr>
          <w:rStyle w:val="Accentuation"/>
          <w:i w:val="0"/>
          <w:iCs w:val="0"/>
        </w:rPr>
        <w:t>Pour avoir recours à l’intégration fiscale, toutes les sociétés doivent être soumises à l’impôt sur les sociétés (IS) et clôturer leur exercice comptable à la même date. La holding doit aussi détenir au moins 95 % du capital des sociétés ainsi intégrées</w:t>
      </w:r>
      <w:r w:rsidRPr="007B278B">
        <w:t>.</w:t>
      </w:r>
    </w:p>
    <w:sectPr w:rsidR="00C12BC9" w:rsidRPr="00683E1B" w:rsidSect="00B67E84">
      <w:headerReference w:type="default" r:id="rId21"/>
      <w:footerReference w:type="default" r:id="rId22"/>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2578D4" w14:textId="77777777" w:rsidR="00E81B89" w:rsidRPr="007B278B" w:rsidRDefault="00E81B89" w:rsidP="002020F9">
      <w:pPr>
        <w:spacing w:after="0" w:line="240" w:lineRule="auto"/>
      </w:pPr>
      <w:r w:rsidRPr="007B278B">
        <w:separator/>
      </w:r>
    </w:p>
  </w:endnote>
  <w:endnote w:type="continuationSeparator" w:id="0">
    <w:p w14:paraId="263F5F3C" w14:textId="77777777" w:rsidR="00E81B89" w:rsidRPr="007B278B" w:rsidRDefault="00E81B89" w:rsidP="002020F9">
      <w:pPr>
        <w:spacing w:after="0" w:line="240" w:lineRule="auto"/>
      </w:pPr>
      <w:r w:rsidRPr="007B278B">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938A221F-D944-40E3-9E64-CE47038FE7A9}"/>
    <w:embedBold r:id="rId2" w:fontKey="{0698E9B7-AE3B-45BC-915E-7363E2BFA817}"/>
    <w:embedItalic r:id="rId3" w:fontKey="{B6A59E06-A953-429E-B1B4-614ABB387B97}"/>
    <w:embedBoldItalic r:id="rId4" w:fontKey="{3A44E3EA-B397-4903-A0D4-BABCE193CBE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embedRegular r:id="rId5" w:fontKey="{3BDEF447-60C0-41F3-805B-6C8D86587D53}"/>
    <w:embedBold r:id="rId6" w:fontKey="{FBD132F8-FB60-4038-8368-181E8FE7CDA4}"/>
    <w:embedItalic r:id="rId7" w:fontKey="{345A50F2-3390-4BE1-B255-ED87CFED660D}"/>
    <w:embedBoldItalic r:id="rId8" w:fontKey="{585F3CD5-E82B-4094-9CEC-FFBCD641DB8D}"/>
  </w:font>
  <w:font w:name="Calibri Light">
    <w:panose1 w:val="020F0302020204030204"/>
    <w:charset w:val="00"/>
    <w:family w:val="swiss"/>
    <w:pitch w:val="variable"/>
    <w:sig w:usb0="E4002EFF" w:usb1="C200247B" w:usb2="00000009" w:usb3="00000000" w:csb0="000001FF" w:csb1="00000000"/>
    <w:embedRegular r:id="rId9" w:fontKey="{8B6D4C7D-F363-44F9-BD97-9F159AF8FC3A}"/>
    <w:embedBold r:id="rId10" w:fontKey="{635709FE-7B40-4549-A6F2-B239D274746B}"/>
  </w:font>
  <w:font w:name="Tahoma">
    <w:panose1 w:val="020B0604030504040204"/>
    <w:charset w:val="00"/>
    <w:family w:val="swiss"/>
    <w:pitch w:val="variable"/>
    <w:sig w:usb0="E1002EFF" w:usb1="C000605B" w:usb2="00000029" w:usb3="00000000" w:csb0="000101FF" w:csb1="00000000"/>
    <w:embedRegular r:id="rId11" w:fontKey="{D99D1EE7-D3A8-439C-8A23-7F10006F9773}"/>
  </w:font>
  <w:font w:name="Aptos Narrow">
    <w:charset w:val="00"/>
    <w:family w:val="swiss"/>
    <w:pitch w:val="variable"/>
    <w:sig w:usb0="20000287" w:usb1="00000003" w:usb2="00000000" w:usb3="00000000" w:csb0="0000019F" w:csb1="00000000"/>
    <w:embedRegular r:id="rId12" w:fontKey="{B0A14959-1278-499A-A5F5-62A4D9D6FFAE}"/>
    <w:embedBold r:id="rId13" w:fontKey="{D048B68D-2ECA-4E7A-A0FA-1D42E656D4B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6572825"/>
      <w:docPartObj>
        <w:docPartGallery w:val="Page Numbers (Bottom of Page)"/>
        <w:docPartUnique/>
      </w:docPartObj>
    </w:sdtPr>
    <w:sdtContent>
      <w:p w14:paraId="3D68741A" w14:textId="111AA3DF" w:rsidR="00683E1B" w:rsidRPr="007B278B" w:rsidRDefault="00683E1B">
        <w:pPr>
          <w:pStyle w:val="Pieddepage"/>
        </w:pPr>
        <w:r w:rsidRPr="007B278B">
          <w:fldChar w:fldCharType="begin"/>
        </w:r>
        <w:r w:rsidRPr="007B278B">
          <w:instrText>PAGE   \* MERGEFORMAT</w:instrText>
        </w:r>
        <w:r w:rsidRPr="007B278B">
          <w:fldChar w:fldCharType="separate"/>
        </w:r>
        <w:r w:rsidRPr="007B278B">
          <w:t>2</w:t>
        </w:r>
        <w:r w:rsidRPr="007B278B">
          <w:fldChar w:fldCharType="end"/>
        </w:r>
        <w:r w:rsidRPr="007B278B">
          <w:t xml:space="preserve"> </w:t>
        </w:r>
        <w:r w:rsidRPr="007B278B">
          <w:t>Copyright© CGPC®</w:t>
        </w:r>
      </w:p>
    </w:sdtContent>
  </w:sdt>
  <w:p w14:paraId="5E304A25" w14:textId="77777777" w:rsidR="00BD4DFB" w:rsidRPr="007B278B" w:rsidRDefault="00BD4DFB">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A831B5" w14:textId="77777777" w:rsidR="00E81B89" w:rsidRPr="007B278B" w:rsidRDefault="00E81B89" w:rsidP="002020F9">
      <w:pPr>
        <w:spacing w:after="0" w:line="240" w:lineRule="auto"/>
      </w:pPr>
      <w:r w:rsidRPr="007B278B">
        <w:separator/>
      </w:r>
    </w:p>
  </w:footnote>
  <w:footnote w:type="continuationSeparator" w:id="0">
    <w:p w14:paraId="0E375C4E" w14:textId="77777777" w:rsidR="00E81B89" w:rsidRPr="007B278B" w:rsidRDefault="00E81B89" w:rsidP="002020F9">
      <w:pPr>
        <w:spacing w:after="0" w:line="240" w:lineRule="auto"/>
      </w:pPr>
      <w:r w:rsidRPr="007B278B">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C4B659" w14:textId="3DE5A7CF" w:rsidR="00BD4DFB" w:rsidRPr="007B278B" w:rsidRDefault="00683E1B">
    <w:pPr>
      <w:pStyle w:val="En-tte"/>
    </w:pPr>
    <w:r w:rsidRPr="007B278B">
      <mc:AlternateContent>
        <mc:Choice Requires="wps">
          <w:drawing>
            <wp:anchor distT="0" distB="0" distL="118745" distR="118745" simplePos="0" relativeHeight="251650560" behindDoc="1" locked="0" layoutInCell="1" allowOverlap="0" wp14:anchorId="2E638AB7" wp14:editId="3BCD5224">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76CCBDC6" w14:textId="66CBFE3E" w:rsidR="00683E1B" w:rsidRPr="007B278B" w:rsidRDefault="00683E1B">
                              <w:pPr>
                                <w:pStyle w:val="En-tte"/>
                                <w:jc w:val="center"/>
                                <w:rPr>
                                  <w:caps/>
                                  <w:color w:val="FFFFFF" w:themeColor="background1"/>
                                </w:rPr>
                              </w:pPr>
                              <w:r w:rsidRPr="007B278B">
                                <w:rPr>
                                  <w:caps/>
                                  <w:color w:val="FFFFFF" w:themeColor="background1"/>
                                </w:rPr>
                                <w:t>Chapitre 4 : La transmission du patrimoine du chef ou dirigeant d’entreprise</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2E638AB7" id="Rectangle 200" o:spid="_x0000_s1026" style="position:absolute;left:0;text-align:left;margin-left:0;margin-top:0;width:468.5pt;height:21.3pt;z-index:-251665920;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76CCBDC6" w14:textId="66CBFE3E" w:rsidR="00683E1B" w:rsidRPr="007B278B" w:rsidRDefault="00683E1B">
                        <w:pPr>
                          <w:pStyle w:val="En-tte"/>
                          <w:jc w:val="center"/>
                          <w:rPr>
                            <w:caps/>
                            <w:color w:val="FFFFFF" w:themeColor="background1"/>
                          </w:rPr>
                        </w:pPr>
                        <w:r w:rsidRPr="007B278B">
                          <w:rPr>
                            <w:caps/>
                            <w:color w:val="FFFFFF" w:themeColor="background1"/>
                          </w:rPr>
                          <w:t>Chapitre 4 : La transmission du patrimoine du chef ou dirigeant d’entreprise</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49267F"/>
    <w:multiLevelType w:val="hybridMultilevel"/>
    <w:tmpl w:val="246004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B413C66"/>
    <w:multiLevelType w:val="hybridMultilevel"/>
    <w:tmpl w:val="54721312"/>
    <w:lvl w:ilvl="0" w:tplc="FA10CC0A">
      <w:start w:val="1"/>
      <w:numFmt w:val="bullet"/>
      <w:lvlText w:val=""/>
      <w:lvlJc w:val="left"/>
      <w:pPr>
        <w:tabs>
          <w:tab w:val="num" w:pos="720"/>
        </w:tabs>
        <w:ind w:left="720" w:hanging="360"/>
      </w:pPr>
      <w:rPr>
        <w:rFonts w:ascii="Symbol" w:hAnsi="Symbol" w:hint="default"/>
      </w:rPr>
    </w:lvl>
    <w:lvl w:ilvl="1" w:tplc="DF02EDD2" w:tentative="1">
      <w:start w:val="1"/>
      <w:numFmt w:val="bullet"/>
      <w:lvlText w:val=""/>
      <w:lvlJc w:val="left"/>
      <w:pPr>
        <w:tabs>
          <w:tab w:val="num" w:pos="1440"/>
        </w:tabs>
        <w:ind w:left="1440" w:hanging="360"/>
      </w:pPr>
      <w:rPr>
        <w:rFonts w:ascii="Symbol" w:hAnsi="Symbol" w:hint="default"/>
      </w:rPr>
    </w:lvl>
    <w:lvl w:ilvl="2" w:tplc="43CEB5FE" w:tentative="1">
      <w:start w:val="1"/>
      <w:numFmt w:val="bullet"/>
      <w:lvlText w:val=""/>
      <w:lvlJc w:val="left"/>
      <w:pPr>
        <w:tabs>
          <w:tab w:val="num" w:pos="2160"/>
        </w:tabs>
        <w:ind w:left="2160" w:hanging="360"/>
      </w:pPr>
      <w:rPr>
        <w:rFonts w:ascii="Symbol" w:hAnsi="Symbol" w:hint="default"/>
      </w:rPr>
    </w:lvl>
    <w:lvl w:ilvl="3" w:tplc="7848DA7C" w:tentative="1">
      <w:start w:val="1"/>
      <w:numFmt w:val="bullet"/>
      <w:lvlText w:val=""/>
      <w:lvlJc w:val="left"/>
      <w:pPr>
        <w:tabs>
          <w:tab w:val="num" w:pos="2880"/>
        </w:tabs>
        <w:ind w:left="2880" w:hanging="360"/>
      </w:pPr>
      <w:rPr>
        <w:rFonts w:ascii="Symbol" w:hAnsi="Symbol" w:hint="default"/>
      </w:rPr>
    </w:lvl>
    <w:lvl w:ilvl="4" w:tplc="566CD0C4" w:tentative="1">
      <w:start w:val="1"/>
      <w:numFmt w:val="bullet"/>
      <w:lvlText w:val=""/>
      <w:lvlJc w:val="left"/>
      <w:pPr>
        <w:tabs>
          <w:tab w:val="num" w:pos="3600"/>
        </w:tabs>
        <w:ind w:left="3600" w:hanging="360"/>
      </w:pPr>
      <w:rPr>
        <w:rFonts w:ascii="Symbol" w:hAnsi="Symbol" w:hint="default"/>
      </w:rPr>
    </w:lvl>
    <w:lvl w:ilvl="5" w:tplc="99B42AA6" w:tentative="1">
      <w:start w:val="1"/>
      <w:numFmt w:val="bullet"/>
      <w:lvlText w:val=""/>
      <w:lvlJc w:val="left"/>
      <w:pPr>
        <w:tabs>
          <w:tab w:val="num" w:pos="4320"/>
        </w:tabs>
        <w:ind w:left="4320" w:hanging="360"/>
      </w:pPr>
      <w:rPr>
        <w:rFonts w:ascii="Symbol" w:hAnsi="Symbol" w:hint="default"/>
      </w:rPr>
    </w:lvl>
    <w:lvl w:ilvl="6" w:tplc="7226853A" w:tentative="1">
      <w:start w:val="1"/>
      <w:numFmt w:val="bullet"/>
      <w:lvlText w:val=""/>
      <w:lvlJc w:val="left"/>
      <w:pPr>
        <w:tabs>
          <w:tab w:val="num" w:pos="5040"/>
        </w:tabs>
        <w:ind w:left="5040" w:hanging="360"/>
      </w:pPr>
      <w:rPr>
        <w:rFonts w:ascii="Symbol" w:hAnsi="Symbol" w:hint="default"/>
      </w:rPr>
    </w:lvl>
    <w:lvl w:ilvl="7" w:tplc="6C3E0000" w:tentative="1">
      <w:start w:val="1"/>
      <w:numFmt w:val="bullet"/>
      <w:lvlText w:val=""/>
      <w:lvlJc w:val="left"/>
      <w:pPr>
        <w:tabs>
          <w:tab w:val="num" w:pos="5760"/>
        </w:tabs>
        <w:ind w:left="5760" w:hanging="360"/>
      </w:pPr>
      <w:rPr>
        <w:rFonts w:ascii="Symbol" w:hAnsi="Symbol" w:hint="default"/>
      </w:rPr>
    </w:lvl>
    <w:lvl w:ilvl="8" w:tplc="59A6BE38"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1EB955B1"/>
    <w:multiLevelType w:val="hybridMultilevel"/>
    <w:tmpl w:val="AD809A3A"/>
    <w:lvl w:ilvl="0" w:tplc="4266B068">
      <w:start w:val="1"/>
      <w:numFmt w:val="decimal"/>
      <w:pStyle w:val="Titre3"/>
      <w:lvlText w:val="%1."/>
      <w:lvlJc w:val="left"/>
      <w:pPr>
        <w:ind w:left="360" w:hanging="360"/>
      </w:pPr>
      <w:rPr>
        <w:rFonts w:hint="default"/>
      </w:rPr>
    </w:lvl>
    <w:lvl w:ilvl="1" w:tplc="FFFFFFFF" w:tentative="1">
      <w:start w:val="1"/>
      <w:numFmt w:val="lowerLetter"/>
      <w:lvlText w:val="%2."/>
      <w:lvlJc w:val="left"/>
      <w:pPr>
        <w:ind w:left="-2340" w:hanging="360"/>
      </w:pPr>
    </w:lvl>
    <w:lvl w:ilvl="2" w:tplc="FFFFFFFF" w:tentative="1">
      <w:start w:val="1"/>
      <w:numFmt w:val="lowerRoman"/>
      <w:lvlText w:val="%3."/>
      <w:lvlJc w:val="right"/>
      <w:pPr>
        <w:ind w:left="-1620" w:hanging="180"/>
      </w:pPr>
    </w:lvl>
    <w:lvl w:ilvl="3" w:tplc="FFFFFFFF" w:tentative="1">
      <w:start w:val="1"/>
      <w:numFmt w:val="decimal"/>
      <w:lvlText w:val="%4."/>
      <w:lvlJc w:val="left"/>
      <w:pPr>
        <w:ind w:left="-900" w:hanging="360"/>
      </w:pPr>
    </w:lvl>
    <w:lvl w:ilvl="4" w:tplc="FFFFFFFF" w:tentative="1">
      <w:start w:val="1"/>
      <w:numFmt w:val="lowerLetter"/>
      <w:lvlText w:val="%5."/>
      <w:lvlJc w:val="left"/>
      <w:pPr>
        <w:ind w:left="-180" w:hanging="360"/>
      </w:pPr>
    </w:lvl>
    <w:lvl w:ilvl="5" w:tplc="FFFFFFFF" w:tentative="1">
      <w:start w:val="1"/>
      <w:numFmt w:val="lowerRoman"/>
      <w:lvlText w:val="%6."/>
      <w:lvlJc w:val="right"/>
      <w:pPr>
        <w:ind w:left="540" w:hanging="180"/>
      </w:pPr>
    </w:lvl>
    <w:lvl w:ilvl="6" w:tplc="FFFFFFFF" w:tentative="1">
      <w:start w:val="1"/>
      <w:numFmt w:val="decimal"/>
      <w:lvlText w:val="%7."/>
      <w:lvlJc w:val="left"/>
      <w:pPr>
        <w:ind w:left="1260" w:hanging="360"/>
      </w:pPr>
    </w:lvl>
    <w:lvl w:ilvl="7" w:tplc="FFFFFFFF" w:tentative="1">
      <w:start w:val="1"/>
      <w:numFmt w:val="lowerLetter"/>
      <w:lvlText w:val="%8."/>
      <w:lvlJc w:val="left"/>
      <w:pPr>
        <w:ind w:left="1980" w:hanging="360"/>
      </w:pPr>
    </w:lvl>
    <w:lvl w:ilvl="8" w:tplc="FFFFFFFF" w:tentative="1">
      <w:start w:val="1"/>
      <w:numFmt w:val="lowerRoman"/>
      <w:lvlText w:val="%9."/>
      <w:lvlJc w:val="right"/>
      <w:pPr>
        <w:ind w:left="2700" w:hanging="180"/>
      </w:pPr>
    </w:lvl>
  </w:abstractNum>
  <w:abstractNum w:abstractNumId="3" w15:restartNumberingAfterBreak="0">
    <w:nsid w:val="260B2D25"/>
    <w:multiLevelType w:val="multilevel"/>
    <w:tmpl w:val="1EE47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8A871EC"/>
    <w:multiLevelType w:val="hybridMultilevel"/>
    <w:tmpl w:val="0BDEA2F0"/>
    <w:lvl w:ilvl="0" w:tplc="567063EA">
      <w:start w:val="1"/>
      <w:numFmt w:val="upperRoman"/>
      <w:pStyle w:val="Titre1"/>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EC86EBB"/>
    <w:multiLevelType w:val="hybridMultilevel"/>
    <w:tmpl w:val="AD4E0D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E126D1E"/>
    <w:multiLevelType w:val="hybridMultilevel"/>
    <w:tmpl w:val="691272C4"/>
    <w:lvl w:ilvl="0" w:tplc="2A7A0BDA">
      <w:start w:val="1"/>
      <w:numFmt w:val="lowerRoman"/>
      <w:pStyle w:val="Titre6"/>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2851930"/>
    <w:multiLevelType w:val="multilevel"/>
    <w:tmpl w:val="D52EF2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41D48F1"/>
    <w:multiLevelType w:val="multilevel"/>
    <w:tmpl w:val="1C622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44314407"/>
    <w:multiLevelType w:val="multilevel"/>
    <w:tmpl w:val="B50C0D0A"/>
    <w:lvl w:ilvl="0">
      <w:start w:val="1"/>
      <w:numFmt w:val="upperRoman"/>
      <w:pStyle w:val="Titre2"/>
      <w:lvlText w:val="%1."/>
      <w:lvlJc w:val="right"/>
      <w:pPr>
        <w:ind w:left="1080" w:hanging="360"/>
      </w:pPr>
    </w:lvl>
    <w:lvl w:ilvl="1">
      <w:start w:val="1"/>
      <w:numFmt w:val="decimal"/>
      <w:lvlText w:val="%2."/>
      <w:lvlJc w:val="left"/>
      <w:pPr>
        <w:tabs>
          <w:tab w:val="num" w:pos="1800"/>
        </w:tabs>
        <w:ind w:left="1800" w:hanging="720"/>
      </w:pPr>
    </w:lvl>
    <w:lvl w:ilvl="2">
      <w:start w:val="1"/>
      <w:numFmt w:val="decimal"/>
      <w:lvlText w:val="%3."/>
      <w:lvlJc w:val="left"/>
      <w:pPr>
        <w:tabs>
          <w:tab w:val="num" w:pos="2520"/>
        </w:tabs>
        <w:ind w:left="2520" w:hanging="720"/>
      </w:pPr>
    </w:lvl>
    <w:lvl w:ilvl="3">
      <w:start w:val="1"/>
      <w:numFmt w:val="decimal"/>
      <w:lvlText w:val="%4."/>
      <w:lvlJc w:val="left"/>
      <w:pPr>
        <w:tabs>
          <w:tab w:val="num" w:pos="3240"/>
        </w:tabs>
        <w:ind w:left="3240" w:hanging="720"/>
      </w:pPr>
    </w:lvl>
    <w:lvl w:ilvl="4">
      <w:start w:val="1"/>
      <w:numFmt w:val="decimal"/>
      <w:lvlText w:val="%5."/>
      <w:lvlJc w:val="left"/>
      <w:pPr>
        <w:tabs>
          <w:tab w:val="num" w:pos="3960"/>
        </w:tabs>
        <w:ind w:left="3960" w:hanging="720"/>
      </w:pPr>
    </w:lvl>
    <w:lvl w:ilvl="5">
      <w:start w:val="1"/>
      <w:numFmt w:val="decimal"/>
      <w:lvlText w:val="%6."/>
      <w:lvlJc w:val="left"/>
      <w:pPr>
        <w:tabs>
          <w:tab w:val="num" w:pos="4680"/>
        </w:tabs>
        <w:ind w:left="4680" w:hanging="720"/>
      </w:pPr>
    </w:lvl>
    <w:lvl w:ilvl="6">
      <w:start w:val="1"/>
      <w:numFmt w:val="decimal"/>
      <w:lvlText w:val="%7."/>
      <w:lvlJc w:val="left"/>
      <w:pPr>
        <w:tabs>
          <w:tab w:val="num" w:pos="5400"/>
        </w:tabs>
        <w:ind w:left="5400" w:hanging="720"/>
      </w:pPr>
    </w:lvl>
    <w:lvl w:ilvl="7">
      <w:start w:val="1"/>
      <w:numFmt w:val="decimal"/>
      <w:lvlText w:val="%8."/>
      <w:lvlJc w:val="left"/>
      <w:pPr>
        <w:tabs>
          <w:tab w:val="num" w:pos="6120"/>
        </w:tabs>
        <w:ind w:left="6120" w:hanging="720"/>
      </w:pPr>
    </w:lvl>
    <w:lvl w:ilvl="8">
      <w:start w:val="1"/>
      <w:numFmt w:val="decimal"/>
      <w:lvlText w:val="%9."/>
      <w:lvlJc w:val="left"/>
      <w:pPr>
        <w:tabs>
          <w:tab w:val="num" w:pos="6840"/>
        </w:tabs>
        <w:ind w:left="6840" w:hanging="720"/>
      </w:pPr>
    </w:lvl>
  </w:abstractNum>
  <w:abstractNum w:abstractNumId="10" w15:restartNumberingAfterBreak="0">
    <w:nsid w:val="4B386829"/>
    <w:multiLevelType w:val="multilevel"/>
    <w:tmpl w:val="5F6C20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515E3774"/>
    <w:multiLevelType w:val="multilevel"/>
    <w:tmpl w:val="442CC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5302399C"/>
    <w:multiLevelType w:val="hybridMultilevel"/>
    <w:tmpl w:val="C9A2E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0376F66"/>
    <w:multiLevelType w:val="hybridMultilevel"/>
    <w:tmpl w:val="EB2EF8B4"/>
    <w:lvl w:ilvl="0" w:tplc="BEE851C4">
      <w:start w:val="1"/>
      <w:numFmt w:val="upperLetter"/>
      <w:pStyle w:val="Titre4"/>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7FF7774A"/>
    <w:multiLevelType w:val="hybridMultilevel"/>
    <w:tmpl w:val="C6621F80"/>
    <w:lvl w:ilvl="0" w:tplc="B30C6942">
      <w:start w:val="1"/>
      <w:numFmt w:val="lowerLetter"/>
      <w:pStyle w:val="Titre5"/>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922103502">
    <w:abstractNumId w:val="9"/>
  </w:num>
  <w:num w:numId="2" w16cid:durableId="996615060">
    <w:abstractNumId w:val="4"/>
  </w:num>
  <w:num w:numId="3" w16cid:durableId="656998670">
    <w:abstractNumId w:val="13"/>
  </w:num>
  <w:num w:numId="4" w16cid:durableId="612174561">
    <w:abstractNumId w:val="2"/>
  </w:num>
  <w:num w:numId="5" w16cid:durableId="2134471856">
    <w:abstractNumId w:val="6"/>
  </w:num>
  <w:num w:numId="6" w16cid:durableId="1988507520">
    <w:abstractNumId w:val="8"/>
  </w:num>
  <w:num w:numId="7" w16cid:durableId="25911623">
    <w:abstractNumId w:val="10"/>
  </w:num>
  <w:num w:numId="8" w16cid:durableId="1481580610">
    <w:abstractNumId w:val="3"/>
  </w:num>
  <w:num w:numId="9" w16cid:durableId="533351900">
    <w:abstractNumId w:val="7"/>
  </w:num>
  <w:num w:numId="10" w16cid:durableId="497692225">
    <w:abstractNumId w:val="11"/>
  </w:num>
  <w:num w:numId="11" w16cid:durableId="2086798458">
    <w:abstractNumId w:val="14"/>
  </w:num>
  <w:num w:numId="12" w16cid:durableId="1640841566">
    <w:abstractNumId w:val="14"/>
    <w:lvlOverride w:ilvl="0">
      <w:startOverride w:val="1"/>
    </w:lvlOverride>
  </w:num>
  <w:num w:numId="13" w16cid:durableId="2097045307">
    <w:abstractNumId w:val="6"/>
    <w:lvlOverride w:ilvl="0">
      <w:startOverride w:val="1"/>
    </w:lvlOverride>
  </w:num>
  <w:num w:numId="14" w16cid:durableId="1228568414">
    <w:abstractNumId w:val="1"/>
  </w:num>
  <w:num w:numId="15" w16cid:durableId="92483607">
    <w:abstractNumId w:val="13"/>
    <w:lvlOverride w:ilvl="0">
      <w:startOverride w:val="1"/>
    </w:lvlOverride>
  </w:num>
  <w:num w:numId="16" w16cid:durableId="1031953368">
    <w:abstractNumId w:val="14"/>
    <w:lvlOverride w:ilvl="0">
      <w:startOverride w:val="1"/>
    </w:lvlOverride>
  </w:num>
  <w:num w:numId="17" w16cid:durableId="121264885">
    <w:abstractNumId w:val="14"/>
    <w:lvlOverride w:ilvl="0">
      <w:startOverride w:val="1"/>
    </w:lvlOverride>
  </w:num>
  <w:num w:numId="18" w16cid:durableId="1938825408">
    <w:abstractNumId w:val="2"/>
    <w:lvlOverride w:ilvl="0">
      <w:startOverride w:val="1"/>
    </w:lvlOverride>
  </w:num>
  <w:num w:numId="19" w16cid:durableId="787624602">
    <w:abstractNumId w:val="13"/>
    <w:lvlOverride w:ilvl="0">
      <w:startOverride w:val="1"/>
    </w:lvlOverride>
  </w:num>
  <w:num w:numId="20" w16cid:durableId="492991430">
    <w:abstractNumId w:val="14"/>
    <w:lvlOverride w:ilvl="0">
      <w:startOverride w:val="1"/>
    </w:lvlOverride>
  </w:num>
  <w:num w:numId="21" w16cid:durableId="1389454840">
    <w:abstractNumId w:val="14"/>
    <w:lvlOverride w:ilvl="0">
      <w:startOverride w:val="1"/>
    </w:lvlOverride>
  </w:num>
  <w:num w:numId="22" w16cid:durableId="762532212">
    <w:abstractNumId w:val="0"/>
  </w:num>
  <w:num w:numId="23" w16cid:durableId="523447710">
    <w:abstractNumId w:val="12"/>
  </w:num>
  <w:num w:numId="24" w16cid:durableId="1132405232">
    <w:abstractNumId w:val="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embedTrueTypeFonts/>
  <w:proofState w:spelling="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13774"/>
    <w:rsid w:val="00002841"/>
    <w:rsid w:val="00004274"/>
    <w:rsid w:val="0001567E"/>
    <w:rsid w:val="00026686"/>
    <w:rsid w:val="00074CCE"/>
    <w:rsid w:val="00075E24"/>
    <w:rsid w:val="00081F20"/>
    <w:rsid w:val="000A60F2"/>
    <w:rsid w:val="000C2B3F"/>
    <w:rsid w:val="000C5F54"/>
    <w:rsid w:val="000E29C1"/>
    <w:rsid w:val="001238EF"/>
    <w:rsid w:val="001525E5"/>
    <w:rsid w:val="001541DD"/>
    <w:rsid w:val="001628E5"/>
    <w:rsid w:val="001915DB"/>
    <w:rsid w:val="00197C2B"/>
    <w:rsid w:val="001E58CB"/>
    <w:rsid w:val="00200B59"/>
    <w:rsid w:val="002020F9"/>
    <w:rsid w:val="00224F0D"/>
    <w:rsid w:val="00233D58"/>
    <w:rsid w:val="002352E6"/>
    <w:rsid w:val="00280BD6"/>
    <w:rsid w:val="002863E1"/>
    <w:rsid w:val="002E04A2"/>
    <w:rsid w:val="002E5FE3"/>
    <w:rsid w:val="002E7C98"/>
    <w:rsid w:val="0030508E"/>
    <w:rsid w:val="00305ED8"/>
    <w:rsid w:val="00326184"/>
    <w:rsid w:val="003539C6"/>
    <w:rsid w:val="0036727B"/>
    <w:rsid w:val="00387DA8"/>
    <w:rsid w:val="00395D9F"/>
    <w:rsid w:val="003D2EB1"/>
    <w:rsid w:val="003D57D5"/>
    <w:rsid w:val="00415D2C"/>
    <w:rsid w:val="004C5E68"/>
    <w:rsid w:val="004F7075"/>
    <w:rsid w:val="00552D7D"/>
    <w:rsid w:val="0056165E"/>
    <w:rsid w:val="00563C2E"/>
    <w:rsid w:val="00566450"/>
    <w:rsid w:val="00566BDA"/>
    <w:rsid w:val="005803B6"/>
    <w:rsid w:val="0058472E"/>
    <w:rsid w:val="00593DBA"/>
    <w:rsid w:val="005941FD"/>
    <w:rsid w:val="005A1882"/>
    <w:rsid w:val="005E41CC"/>
    <w:rsid w:val="005F0983"/>
    <w:rsid w:val="005F0B22"/>
    <w:rsid w:val="00605F62"/>
    <w:rsid w:val="00624CAE"/>
    <w:rsid w:val="0062781F"/>
    <w:rsid w:val="006325C6"/>
    <w:rsid w:val="00643528"/>
    <w:rsid w:val="00645749"/>
    <w:rsid w:val="00677448"/>
    <w:rsid w:val="00683E1B"/>
    <w:rsid w:val="00685544"/>
    <w:rsid w:val="006C2651"/>
    <w:rsid w:val="006E2203"/>
    <w:rsid w:val="00780465"/>
    <w:rsid w:val="007A379E"/>
    <w:rsid w:val="007B278B"/>
    <w:rsid w:val="007C07A3"/>
    <w:rsid w:val="007F2091"/>
    <w:rsid w:val="00826CAE"/>
    <w:rsid w:val="00834AAF"/>
    <w:rsid w:val="00882339"/>
    <w:rsid w:val="0088467E"/>
    <w:rsid w:val="008A52B4"/>
    <w:rsid w:val="008D272E"/>
    <w:rsid w:val="008E6990"/>
    <w:rsid w:val="00910D5B"/>
    <w:rsid w:val="00913774"/>
    <w:rsid w:val="00914804"/>
    <w:rsid w:val="00937625"/>
    <w:rsid w:val="00951CFF"/>
    <w:rsid w:val="00984F19"/>
    <w:rsid w:val="009A61A2"/>
    <w:rsid w:val="009F5FD7"/>
    <w:rsid w:val="00A13493"/>
    <w:rsid w:val="00A7577F"/>
    <w:rsid w:val="00A87FD6"/>
    <w:rsid w:val="00AA6E58"/>
    <w:rsid w:val="00AB5284"/>
    <w:rsid w:val="00AC3233"/>
    <w:rsid w:val="00AC4FFD"/>
    <w:rsid w:val="00AE3DF2"/>
    <w:rsid w:val="00B0501B"/>
    <w:rsid w:val="00B10DE0"/>
    <w:rsid w:val="00B13B22"/>
    <w:rsid w:val="00B25AB9"/>
    <w:rsid w:val="00B34910"/>
    <w:rsid w:val="00B42117"/>
    <w:rsid w:val="00B5286C"/>
    <w:rsid w:val="00B52C2E"/>
    <w:rsid w:val="00B630C8"/>
    <w:rsid w:val="00B67E84"/>
    <w:rsid w:val="00B75B22"/>
    <w:rsid w:val="00B8067C"/>
    <w:rsid w:val="00B81391"/>
    <w:rsid w:val="00BA1531"/>
    <w:rsid w:val="00BA4A7A"/>
    <w:rsid w:val="00BC0441"/>
    <w:rsid w:val="00BD4DFB"/>
    <w:rsid w:val="00BF4DAF"/>
    <w:rsid w:val="00BF7C89"/>
    <w:rsid w:val="00C10135"/>
    <w:rsid w:val="00C12BC9"/>
    <w:rsid w:val="00C17D12"/>
    <w:rsid w:val="00C44C02"/>
    <w:rsid w:val="00C83889"/>
    <w:rsid w:val="00C86C18"/>
    <w:rsid w:val="00C930BA"/>
    <w:rsid w:val="00CC5221"/>
    <w:rsid w:val="00CD36D8"/>
    <w:rsid w:val="00CE73AE"/>
    <w:rsid w:val="00D30A3F"/>
    <w:rsid w:val="00D40C02"/>
    <w:rsid w:val="00D5574B"/>
    <w:rsid w:val="00D7312E"/>
    <w:rsid w:val="00D812F3"/>
    <w:rsid w:val="00DE3098"/>
    <w:rsid w:val="00DF0886"/>
    <w:rsid w:val="00E23FCD"/>
    <w:rsid w:val="00E539C0"/>
    <w:rsid w:val="00E57CBB"/>
    <w:rsid w:val="00E678EF"/>
    <w:rsid w:val="00E81B89"/>
    <w:rsid w:val="00E961B3"/>
    <w:rsid w:val="00E96BE2"/>
    <w:rsid w:val="00EB02FF"/>
    <w:rsid w:val="00EB0768"/>
    <w:rsid w:val="00EC652C"/>
    <w:rsid w:val="00ED4021"/>
    <w:rsid w:val="00F06218"/>
    <w:rsid w:val="00F22A0B"/>
    <w:rsid w:val="00FC7031"/>
    <w:rsid w:val="00FD50BB"/>
    <w:rsid w:val="00FD73FA"/>
    <w:rsid w:val="00FF28A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docId w15:val="{E5A20743-FF9D-4DBF-A2A1-35C0EDA30E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E961B3"/>
    <w:pPr>
      <w:jc w:val="both"/>
    </w:pPr>
    <w:rPr>
      <w:rFonts w:ascii="Open Sans" w:hAnsi="Open Sans"/>
      <w:kern w:val="0"/>
      <w:sz w:val="28"/>
      <w14:ligatures w14:val="none"/>
    </w:rPr>
  </w:style>
  <w:style w:type="paragraph" w:styleId="Titre1">
    <w:name w:val="heading 1"/>
    <w:basedOn w:val="Normal"/>
    <w:next w:val="Titre2"/>
    <w:link w:val="Titre1Car"/>
    <w:autoRedefine/>
    <w:uiPriority w:val="9"/>
    <w:qFormat/>
    <w:rsid w:val="00552D7D"/>
    <w:pPr>
      <w:keepNext/>
      <w:keepLines/>
      <w:numPr>
        <w:numId w:val="2"/>
      </w:numPr>
      <w:shd w:val="clear" w:color="auto" w:fill="FFFFFF"/>
      <w:spacing w:after="0" w:line="900" w:lineRule="atLeast"/>
      <w:jc w:val="left"/>
      <w:textAlignment w:val="baseline"/>
      <w:outlineLvl w:val="0"/>
    </w:pPr>
    <w:rPr>
      <w:rFonts w:eastAsiaTheme="majorEastAsia" w:cstheme="majorBidi"/>
      <w:b/>
      <w:sz w:val="60"/>
      <w:szCs w:val="32"/>
    </w:rPr>
  </w:style>
  <w:style w:type="paragraph" w:styleId="Titre2">
    <w:name w:val="heading 2"/>
    <w:aliases w:val="Titre 2 CGPC"/>
    <w:basedOn w:val="CGPC-elearning"/>
    <w:next w:val="Normal"/>
    <w:link w:val="Titre2Car"/>
    <w:autoRedefine/>
    <w:uiPriority w:val="9"/>
    <w:unhideWhenUsed/>
    <w:qFormat/>
    <w:rsid w:val="00FC7031"/>
    <w:pPr>
      <w:keepNext/>
      <w:keepLines/>
      <w:numPr>
        <w:numId w:val="1"/>
      </w:numPr>
      <w:spacing w:after="0" w:line="600" w:lineRule="atLeast"/>
      <w:contextualSpacing/>
      <w:jc w:val="both"/>
      <w:textAlignment w:val="baseline"/>
      <w:outlineLvl w:val="1"/>
    </w:pPr>
    <w:rPr>
      <w:rFonts w:eastAsiaTheme="majorEastAsia"/>
      <w:b/>
      <w:i/>
      <w:color w:val="FFFFFF" w:themeColor="background1"/>
      <w:sz w:val="48"/>
      <w:szCs w:val="26"/>
    </w:rPr>
  </w:style>
  <w:style w:type="paragraph" w:styleId="Titre3">
    <w:name w:val="heading 3"/>
    <w:aliases w:val="Titre 3 CGPC"/>
    <w:basedOn w:val="CGPC-elearning"/>
    <w:next w:val="Normal"/>
    <w:link w:val="Titre3Car"/>
    <w:autoRedefine/>
    <w:uiPriority w:val="9"/>
    <w:unhideWhenUsed/>
    <w:qFormat/>
    <w:rsid w:val="00683E1B"/>
    <w:pPr>
      <w:keepNext/>
      <w:keepLines/>
      <w:numPr>
        <w:numId w:val="4"/>
      </w:numPr>
      <w:shd w:val="clear" w:color="auto" w:fill="FFFFFF"/>
      <w:spacing w:after="0" w:line="675" w:lineRule="atLeast"/>
      <w:jc w:val="both"/>
      <w:textAlignment w:val="baseline"/>
      <w:outlineLvl w:val="2"/>
    </w:pPr>
    <w:rPr>
      <w:rFonts w:eastAsia="Times New Roman"/>
      <w:b/>
      <w:i/>
      <w:color w:val="3A5D9C"/>
      <w:sz w:val="44"/>
      <w:szCs w:val="30"/>
      <w:lang w:eastAsia="fr-FR"/>
    </w:rPr>
  </w:style>
  <w:style w:type="paragraph" w:styleId="Titre4">
    <w:name w:val="heading 4"/>
    <w:aliases w:val="Titre 4 CGPC"/>
    <w:basedOn w:val="CGPC-elearning"/>
    <w:next w:val="Normal"/>
    <w:link w:val="Titre4Car"/>
    <w:autoRedefine/>
    <w:uiPriority w:val="9"/>
    <w:unhideWhenUsed/>
    <w:qFormat/>
    <w:rsid w:val="00683E1B"/>
    <w:pPr>
      <w:keepNext/>
      <w:keepLines/>
      <w:numPr>
        <w:numId w:val="3"/>
      </w:numPr>
      <w:spacing w:before="400" w:after="240"/>
      <w:outlineLvl w:val="3"/>
    </w:pPr>
    <w:rPr>
      <w:rFonts w:eastAsiaTheme="majorEastAsia" w:cstheme="majorBidi"/>
      <w:b/>
      <w:iCs/>
      <w:color w:val="2F5496" w:themeColor="accent1" w:themeShade="BF"/>
      <w:sz w:val="40"/>
    </w:rPr>
  </w:style>
  <w:style w:type="paragraph" w:styleId="Titre5">
    <w:name w:val="heading 5"/>
    <w:aliases w:val="Titre 5 CGPC"/>
    <w:basedOn w:val="CGPC-elearning"/>
    <w:next w:val="Normal"/>
    <w:link w:val="Titre5Car"/>
    <w:autoRedefine/>
    <w:uiPriority w:val="9"/>
    <w:unhideWhenUsed/>
    <w:qFormat/>
    <w:rsid w:val="00E961B3"/>
    <w:pPr>
      <w:keepNext/>
      <w:keepLines/>
      <w:numPr>
        <w:numId w:val="11"/>
      </w:numPr>
      <w:spacing w:before="400" w:after="360"/>
      <w:outlineLvl w:val="4"/>
    </w:pPr>
    <w:rPr>
      <w:rFonts w:eastAsia="Times New Roman" w:cstheme="majorBidi"/>
      <w:b/>
      <w:i/>
      <w:color w:val="2F5496" w:themeColor="accent1" w:themeShade="BF"/>
      <w:sz w:val="36"/>
      <w:lang w:eastAsia="fr-FR"/>
    </w:rPr>
  </w:style>
  <w:style w:type="paragraph" w:styleId="Titre6">
    <w:name w:val="heading 6"/>
    <w:basedOn w:val="Normal"/>
    <w:next w:val="Normal"/>
    <w:link w:val="Titre6Car"/>
    <w:autoRedefine/>
    <w:uiPriority w:val="9"/>
    <w:unhideWhenUsed/>
    <w:qFormat/>
    <w:rsid w:val="00E961B3"/>
    <w:pPr>
      <w:keepNext/>
      <w:keepLines/>
      <w:numPr>
        <w:numId w:val="5"/>
      </w:numPr>
      <w:spacing w:before="40" w:after="0"/>
      <w:outlineLvl w:val="5"/>
    </w:pPr>
    <w:rPr>
      <w:rFonts w:asciiTheme="majorHAnsi" w:eastAsiaTheme="majorEastAsia" w:hAnsiTheme="majorHAnsi" w:cstheme="majorBidi"/>
      <w:b/>
      <w:color w:val="2F5496" w:themeColor="accent1" w:themeShade="BF"/>
      <w:sz w:val="32"/>
      <w:bdr w:val="none" w:sz="0" w:space="0" w:color="auto" w:frame="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FC7031"/>
    <w:rPr>
      <w:rFonts w:ascii="Open Sans" w:eastAsiaTheme="majorEastAsia" w:hAnsi="Open Sans" w:cs="Open Sans"/>
      <w:b/>
      <w:bCs/>
      <w:i/>
      <w:color w:val="FFFFFF" w:themeColor="background1"/>
      <w:sz w:val="48"/>
      <w:szCs w:val="26"/>
      <w:bdr w:val="none" w:sz="0" w:space="0" w:color="auto" w:frame="1"/>
    </w:rPr>
  </w:style>
  <w:style w:type="character" w:customStyle="1" w:styleId="Titre1Car">
    <w:name w:val="Titre 1 Car"/>
    <w:basedOn w:val="Policepardfaut"/>
    <w:link w:val="Titre1"/>
    <w:uiPriority w:val="9"/>
    <w:rsid w:val="00552D7D"/>
    <w:rPr>
      <w:rFonts w:ascii="Open Sans" w:eastAsiaTheme="majorEastAsia" w:hAnsi="Open Sans" w:cstheme="majorBidi"/>
      <w:b/>
      <w:kern w:val="0"/>
      <w:sz w:val="60"/>
      <w:szCs w:val="32"/>
      <w:shd w:val="clear" w:color="auto" w:fill="FFFFFF"/>
      <w14:ligatures w14:val="none"/>
    </w:rPr>
  </w:style>
  <w:style w:type="paragraph" w:customStyle="1" w:styleId="CGPC-elearning">
    <w:name w:val="CGPC-elearning"/>
    <w:basedOn w:val="Normal"/>
    <w:link w:val="CGPC-elearningCar"/>
    <w:autoRedefine/>
    <w:qFormat/>
    <w:rsid w:val="007B278B"/>
    <w:pPr>
      <w:ind w:left="360"/>
      <w:jc w:val="left"/>
    </w:pPr>
    <w:rPr>
      <w:rFonts w:cs="Open Sans"/>
      <w:bCs/>
      <w:color w:val="666666"/>
      <w:kern w:val="2"/>
      <w:szCs w:val="28"/>
      <w:bdr w:val="none" w:sz="0" w:space="0" w:color="auto" w:frame="1"/>
      <w14:ligatures w14:val="standardContextual"/>
    </w:rPr>
  </w:style>
  <w:style w:type="character" w:customStyle="1" w:styleId="CGPC-elearningCar">
    <w:name w:val="CGPC-elearning Car"/>
    <w:basedOn w:val="Policepardfaut"/>
    <w:link w:val="CGPC-elearning"/>
    <w:rsid w:val="007B278B"/>
    <w:rPr>
      <w:rFonts w:ascii="Open Sans" w:hAnsi="Open Sans" w:cs="Open Sans"/>
      <w:bCs/>
      <w:color w:val="666666"/>
      <w:sz w:val="28"/>
      <w:szCs w:val="28"/>
      <w:bdr w:val="none" w:sz="0" w:space="0" w:color="auto" w:frame="1"/>
    </w:rPr>
  </w:style>
  <w:style w:type="character" w:customStyle="1" w:styleId="Titre3Car">
    <w:name w:val="Titre 3 Car"/>
    <w:aliases w:val="Titre 3 CGPC Car"/>
    <w:basedOn w:val="Policepardfaut"/>
    <w:link w:val="Titre3"/>
    <w:uiPriority w:val="9"/>
    <w:rsid w:val="00683E1B"/>
    <w:rPr>
      <w:rFonts w:ascii="Open Sans" w:eastAsia="Times New Roman" w:hAnsi="Open Sans" w:cs="Open Sans"/>
      <w:b/>
      <w:bCs/>
      <w:iCs/>
      <w:color w:val="3A5D9C"/>
      <w:sz w:val="44"/>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683E1B"/>
    <w:rPr>
      <w:rFonts w:ascii="Open Sans" w:eastAsiaTheme="majorEastAsia" w:hAnsi="Open Sans" w:cstheme="majorBidi"/>
      <w:b/>
      <w:bCs/>
      <w:i/>
      <w:color w:val="2F5496" w:themeColor="accent1" w:themeShade="BF"/>
      <w:sz w:val="40"/>
      <w:szCs w:val="28"/>
      <w:bdr w:val="none" w:sz="0" w:space="0" w:color="auto" w:frame="1"/>
    </w:rPr>
  </w:style>
  <w:style w:type="character" w:customStyle="1" w:styleId="Titre5Car">
    <w:name w:val="Titre 5 Car"/>
    <w:aliases w:val="Titre 5 CGPC Car"/>
    <w:basedOn w:val="Policepardfaut"/>
    <w:link w:val="Titre5"/>
    <w:uiPriority w:val="9"/>
    <w:rsid w:val="00E961B3"/>
    <w:rPr>
      <w:rFonts w:ascii="Open Sans" w:eastAsia="Times New Roman" w:hAnsi="Open Sans" w:cstheme="majorBidi"/>
      <w:b/>
      <w:bCs/>
      <w:i/>
      <w:color w:val="2F5496" w:themeColor="accent1" w:themeShade="BF"/>
      <w:sz w:val="36"/>
      <w:szCs w:val="21"/>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3539C6"/>
    <w:pPr>
      <w:spacing w:after="100"/>
      <w:ind w:left="240"/>
    </w:pPr>
    <w:rPr>
      <w:b/>
    </w:r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character" w:customStyle="1" w:styleId="Titre6Car">
    <w:name w:val="Titre 6 Car"/>
    <w:basedOn w:val="Policepardfaut"/>
    <w:link w:val="Titre6"/>
    <w:uiPriority w:val="9"/>
    <w:rsid w:val="00E961B3"/>
    <w:rPr>
      <w:rFonts w:asciiTheme="majorHAnsi" w:eastAsiaTheme="majorEastAsia" w:hAnsiTheme="majorHAnsi" w:cstheme="majorBidi"/>
      <w:b/>
      <w:color w:val="2F5496" w:themeColor="accent1" w:themeShade="BF"/>
      <w:kern w:val="0"/>
      <w:sz w:val="32"/>
      <w:bdr w:val="none" w:sz="0" w:space="0" w:color="auto" w:frame="1"/>
      <w14:ligatures w14:val="none"/>
    </w:rPr>
  </w:style>
  <w:style w:type="character" w:customStyle="1" w:styleId="Mentionnonrsolue1">
    <w:name w:val="Mention non résolue1"/>
    <w:basedOn w:val="Policepardfaut"/>
    <w:uiPriority w:val="99"/>
    <w:semiHidden/>
    <w:unhideWhenUsed/>
    <w:rsid w:val="00605F62"/>
    <w:rPr>
      <w:color w:val="605E5C"/>
      <w:shd w:val="clear" w:color="auto" w:fill="E1DFDD"/>
    </w:rPr>
  </w:style>
  <w:style w:type="paragraph" w:styleId="TM4">
    <w:name w:val="toc 4"/>
    <w:basedOn w:val="Normal"/>
    <w:next w:val="Normal"/>
    <w:autoRedefine/>
    <w:uiPriority w:val="39"/>
    <w:unhideWhenUsed/>
    <w:rsid w:val="00B67E84"/>
    <w:pPr>
      <w:spacing w:after="100"/>
      <w:ind w:left="720"/>
    </w:pPr>
  </w:style>
  <w:style w:type="paragraph" w:styleId="TM5">
    <w:name w:val="toc 5"/>
    <w:basedOn w:val="Normal"/>
    <w:next w:val="Normal"/>
    <w:autoRedefine/>
    <w:uiPriority w:val="39"/>
    <w:unhideWhenUsed/>
    <w:rsid w:val="00B67E84"/>
    <w:pPr>
      <w:spacing w:after="100"/>
      <w:ind w:left="960"/>
    </w:pPr>
  </w:style>
  <w:style w:type="paragraph" w:styleId="Textedebulles">
    <w:name w:val="Balloon Text"/>
    <w:basedOn w:val="Normal"/>
    <w:link w:val="TextedebullesCar"/>
    <w:uiPriority w:val="99"/>
    <w:semiHidden/>
    <w:unhideWhenUsed/>
    <w:rsid w:val="001541D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1541DD"/>
    <w:rPr>
      <w:rFonts w:ascii="Tahoma" w:hAnsi="Tahoma" w:cs="Tahoma"/>
      <w:kern w:val="0"/>
      <w:sz w:val="16"/>
      <w:szCs w:val="1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628707139">
      <w:bodyDiv w:val="1"/>
      <w:marLeft w:val="0"/>
      <w:marRight w:val="0"/>
      <w:marTop w:val="0"/>
      <w:marBottom w:val="0"/>
      <w:divBdr>
        <w:top w:val="none" w:sz="0" w:space="0" w:color="auto"/>
        <w:left w:val="none" w:sz="0" w:space="0" w:color="auto"/>
        <w:bottom w:val="none" w:sz="0" w:space="0" w:color="auto"/>
        <w:right w:val="none" w:sz="0" w:space="0" w:color="auto"/>
      </w:divBdr>
      <w:divsChild>
        <w:div w:id="672992526">
          <w:marLeft w:val="0"/>
          <w:marRight w:val="0"/>
          <w:marTop w:val="240"/>
          <w:marBottom w:val="240"/>
          <w:divBdr>
            <w:top w:val="none" w:sz="0" w:space="0" w:color="auto"/>
            <w:left w:val="none" w:sz="0" w:space="0" w:color="auto"/>
            <w:bottom w:val="none" w:sz="0" w:space="0" w:color="auto"/>
            <w:right w:val="none" w:sz="0" w:space="0" w:color="auto"/>
          </w:divBdr>
          <w:divsChild>
            <w:div w:id="1750997271">
              <w:marLeft w:val="0"/>
              <w:marRight w:val="0"/>
              <w:marTop w:val="0"/>
              <w:marBottom w:val="0"/>
              <w:divBdr>
                <w:top w:val="none" w:sz="0" w:space="0" w:color="auto"/>
                <w:left w:val="none" w:sz="0" w:space="0" w:color="auto"/>
                <w:bottom w:val="none" w:sz="0" w:space="0" w:color="auto"/>
                <w:right w:val="none" w:sz="0" w:space="0" w:color="auto"/>
              </w:divBdr>
              <w:divsChild>
                <w:div w:id="1564682642">
                  <w:marLeft w:val="0"/>
                  <w:marRight w:val="0"/>
                  <w:marTop w:val="0"/>
                  <w:marBottom w:val="0"/>
                  <w:divBdr>
                    <w:top w:val="none" w:sz="0" w:space="0" w:color="auto"/>
                    <w:left w:val="none" w:sz="0" w:space="0" w:color="auto"/>
                    <w:bottom w:val="none" w:sz="0" w:space="0" w:color="auto"/>
                    <w:right w:val="none" w:sz="0" w:space="0" w:color="auto"/>
                  </w:divBdr>
                  <w:divsChild>
                    <w:div w:id="183057374">
                      <w:marLeft w:val="0"/>
                      <w:marRight w:val="0"/>
                      <w:marTop w:val="960"/>
                      <w:marBottom w:val="960"/>
                      <w:divBdr>
                        <w:top w:val="single" w:sz="6" w:space="24" w:color="E7E7E8"/>
                        <w:left w:val="single" w:sz="2" w:space="0" w:color="E7E7E8"/>
                        <w:bottom w:val="single" w:sz="6" w:space="24" w:color="E7E7E8"/>
                        <w:right w:val="single" w:sz="2" w:space="0" w:color="E7E7E8"/>
                      </w:divBdr>
                      <w:divsChild>
                        <w:div w:id="754714952">
                          <w:marLeft w:val="0"/>
                          <w:marRight w:val="0"/>
                          <w:marTop w:val="0"/>
                          <w:marBottom w:val="0"/>
                          <w:divBdr>
                            <w:top w:val="none" w:sz="0" w:space="0" w:color="auto"/>
                            <w:left w:val="none" w:sz="0" w:space="0" w:color="auto"/>
                            <w:bottom w:val="none" w:sz="0" w:space="0" w:color="auto"/>
                            <w:right w:val="none" w:sz="0" w:space="0" w:color="auto"/>
                          </w:divBdr>
                          <w:divsChild>
                            <w:div w:id="166986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49682955">
      <w:bodyDiv w:val="1"/>
      <w:marLeft w:val="0"/>
      <w:marRight w:val="0"/>
      <w:marTop w:val="0"/>
      <w:marBottom w:val="0"/>
      <w:divBdr>
        <w:top w:val="none" w:sz="0" w:space="0" w:color="auto"/>
        <w:left w:val="none" w:sz="0" w:space="0" w:color="auto"/>
        <w:bottom w:val="none" w:sz="0" w:space="0" w:color="auto"/>
        <w:right w:val="none" w:sz="0" w:space="0" w:color="auto"/>
      </w:divBdr>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5820379">
      <w:bodyDiv w:val="1"/>
      <w:marLeft w:val="0"/>
      <w:marRight w:val="0"/>
      <w:marTop w:val="0"/>
      <w:marBottom w:val="0"/>
      <w:divBdr>
        <w:top w:val="none" w:sz="0" w:space="0" w:color="auto"/>
        <w:left w:val="none" w:sz="0" w:space="0" w:color="auto"/>
        <w:bottom w:val="none" w:sz="0" w:space="0" w:color="auto"/>
        <w:right w:val="none" w:sz="0" w:space="0" w:color="auto"/>
      </w:divBdr>
      <w:divsChild>
        <w:div w:id="1120685018">
          <w:marLeft w:val="0"/>
          <w:marRight w:val="0"/>
          <w:marTop w:val="240"/>
          <w:marBottom w:val="240"/>
          <w:divBdr>
            <w:top w:val="none" w:sz="0" w:space="0" w:color="auto"/>
            <w:left w:val="none" w:sz="0" w:space="0" w:color="auto"/>
            <w:bottom w:val="none" w:sz="0" w:space="0" w:color="auto"/>
            <w:right w:val="none" w:sz="0" w:space="0" w:color="auto"/>
          </w:divBdr>
          <w:divsChild>
            <w:div w:id="684524476">
              <w:marLeft w:val="0"/>
              <w:marRight w:val="0"/>
              <w:marTop w:val="0"/>
              <w:marBottom w:val="0"/>
              <w:divBdr>
                <w:top w:val="none" w:sz="0" w:space="0" w:color="auto"/>
                <w:left w:val="none" w:sz="0" w:space="0" w:color="auto"/>
                <w:bottom w:val="none" w:sz="0" w:space="0" w:color="auto"/>
                <w:right w:val="none" w:sz="0" w:space="0" w:color="auto"/>
              </w:divBdr>
              <w:divsChild>
                <w:div w:id="226428212">
                  <w:marLeft w:val="0"/>
                  <w:marRight w:val="0"/>
                  <w:marTop w:val="0"/>
                  <w:marBottom w:val="0"/>
                  <w:divBdr>
                    <w:top w:val="none" w:sz="0" w:space="0" w:color="auto"/>
                    <w:left w:val="none" w:sz="0" w:space="0" w:color="auto"/>
                    <w:bottom w:val="none" w:sz="0" w:space="0" w:color="auto"/>
                    <w:right w:val="none" w:sz="0" w:space="0" w:color="auto"/>
                  </w:divBdr>
                  <w:divsChild>
                    <w:div w:id="2031376209">
                      <w:marLeft w:val="0"/>
                      <w:marRight w:val="0"/>
                      <w:marTop w:val="0"/>
                      <w:marBottom w:val="0"/>
                      <w:divBdr>
                        <w:top w:val="none" w:sz="0" w:space="0" w:color="auto"/>
                        <w:left w:val="none" w:sz="0" w:space="0" w:color="auto"/>
                        <w:bottom w:val="none" w:sz="0" w:space="0" w:color="auto"/>
                        <w:right w:val="none" w:sz="0" w:space="0" w:color="auto"/>
                      </w:divBdr>
                      <w:divsChild>
                        <w:div w:id="584919269">
                          <w:marLeft w:val="0"/>
                          <w:marRight w:val="0"/>
                          <w:marTop w:val="0"/>
                          <w:marBottom w:val="0"/>
                          <w:divBdr>
                            <w:top w:val="none" w:sz="0" w:space="0" w:color="auto"/>
                            <w:left w:val="none" w:sz="0" w:space="0" w:color="auto"/>
                            <w:bottom w:val="none" w:sz="0" w:space="0" w:color="auto"/>
                            <w:right w:val="none" w:sz="0" w:space="0" w:color="auto"/>
                          </w:divBdr>
                          <w:divsChild>
                            <w:div w:id="420877398">
                              <w:marLeft w:val="0"/>
                              <w:marRight w:val="0"/>
                              <w:marTop w:val="0"/>
                              <w:marBottom w:val="0"/>
                              <w:divBdr>
                                <w:top w:val="none" w:sz="0" w:space="0" w:color="auto"/>
                                <w:left w:val="none" w:sz="0" w:space="0" w:color="auto"/>
                                <w:bottom w:val="none" w:sz="0" w:space="0" w:color="auto"/>
                                <w:right w:val="none" w:sz="0" w:space="0" w:color="auto"/>
                              </w:divBdr>
                              <w:divsChild>
                                <w:div w:id="749084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1320496">
                      <w:marLeft w:val="0"/>
                      <w:marRight w:val="0"/>
                      <w:marTop w:val="0"/>
                      <w:marBottom w:val="0"/>
                      <w:divBdr>
                        <w:top w:val="none" w:sz="0" w:space="0" w:color="auto"/>
                        <w:left w:val="none" w:sz="0" w:space="0" w:color="auto"/>
                        <w:bottom w:val="none" w:sz="0" w:space="0" w:color="auto"/>
                        <w:right w:val="none" w:sz="0" w:space="0" w:color="auto"/>
                      </w:divBdr>
                      <w:divsChild>
                        <w:div w:id="1357730511">
                          <w:marLeft w:val="0"/>
                          <w:marRight w:val="0"/>
                          <w:marTop w:val="0"/>
                          <w:marBottom w:val="0"/>
                          <w:divBdr>
                            <w:top w:val="none" w:sz="0" w:space="0" w:color="auto"/>
                            <w:left w:val="none" w:sz="0" w:space="0" w:color="auto"/>
                            <w:bottom w:val="none" w:sz="0" w:space="0" w:color="auto"/>
                            <w:right w:val="none" w:sz="0" w:space="0" w:color="auto"/>
                          </w:divBdr>
                          <w:divsChild>
                            <w:div w:id="393964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017592">
                      <w:marLeft w:val="0"/>
                      <w:marRight w:val="0"/>
                      <w:marTop w:val="0"/>
                      <w:marBottom w:val="0"/>
                      <w:divBdr>
                        <w:top w:val="none" w:sz="0" w:space="0" w:color="auto"/>
                        <w:left w:val="none" w:sz="0" w:space="0" w:color="auto"/>
                        <w:bottom w:val="none" w:sz="0" w:space="0" w:color="auto"/>
                        <w:right w:val="none" w:sz="0" w:space="0" w:color="auto"/>
                      </w:divBdr>
                      <w:divsChild>
                        <w:div w:id="1946762883">
                          <w:marLeft w:val="0"/>
                          <w:marRight w:val="0"/>
                          <w:marTop w:val="0"/>
                          <w:marBottom w:val="0"/>
                          <w:divBdr>
                            <w:top w:val="none" w:sz="0" w:space="0" w:color="auto"/>
                            <w:left w:val="none" w:sz="0" w:space="0" w:color="auto"/>
                            <w:bottom w:val="none" w:sz="0" w:space="0" w:color="auto"/>
                            <w:right w:val="none" w:sz="0" w:space="0" w:color="auto"/>
                          </w:divBdr>
                          <w:divsChild>
                            <w:div w:id="640842324">
                              <w:marLeft w:val="0"/>
                              <w:marRight w:val="0"/>
                              <w:marTop w:val="0"/>
                              <w:marBottom w:val="0"/>
                              <w:divBdr>
                                <w:top w:val="none" w:sz="0" w:space="0" w:color="auto"/>
                                <w:left w:val="none" w:sz="0" w:space="0" w:color="auto"/>
                                <w:bottom w:val="none" w:sz="0" w:space="0" w:color="auto"/>
                                <w:right w:val="none" w:sz="0" w:space="0" w:color="auto"/>
                              </w:divBdr>
                            </w:div>
                            <w:div w:id="696003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88382">
                      <w:marLeft w:val="0"/>
                      <w:marRight w:val="0"/>
                      <w:marTop w:val="0"/>
                      <w:marBottom w:val="0"/>
                      <w:divBdr>
                        <w:top w:val="none" w:sz="0" w:space="0" w:color="auto"/>
                        <w:left w:val="none" w:sz="0" w:space="0" w:color="auto"/>
                        <w:bottom w:val="none" w:sz="0" w:space="0" w:color="auto"/>
                        <w:right w:val="none" w:sz="0" w:space="0" w:color="auto"/>
                      </w:divBdr>
                      <w:divsChild>
                        <w:div w:id="1049525940">
                          <w:marLeft w:val="0"/>
                          <w:marRight w:val="0"/>
                          <w:marTop w:val="0"/>
                          <w:marBottom w:val="0"/>
                          <w:divBdr>
                            <w:top w:val="none" w:sz="0" w:space="0" w:color="auto"/>
                            <w:left w:val="none" w:sz="0" w:space="0" w:color="auto"/>
                            <w:bottom w:val="none" w:sz="0" w:space="0" w:color="auto"/>
                            <w:right w:val="none" w:sz="0" w:space="0" w:color="auto"/>
                          </w:divBdr>
                          <w:divsChild>
                            <w:div w:id="406001881">
                              <w:marLeft w:val="0"/>
                              <w:marRight w:val="0"/>
                              <w:marTop w:val="0"/>
                              <w:marBottom w:val="0"/>
                              <w:divBdr>
                                <w:top w:val="none" w:sz="0" w:space="0" w:color="auto"/>
                                <w:left w:val="none" w:sz="0" w:space="0" w:color="auto"/>
                                <w:bottom w:val="none" w:sz="0" w:space="0" w:color="auto"/>
                                <w:right w:val="none" w:sz="0" w:space="0" w:color="auto"/>
                              </w:divBdr>
                            </w:div>
                          </w:divsChild>
                        </w:div>
                        <w:div w:id="965232899">
                          <w:marLeft w:val="0"/>
                          <w:marRight w:val="0"/>
                          <w:marTop w:val="0"/>
                          <w:marBottom w:val="0"/>
                          <w:divBdr>
                            <w:top w:val="none" w:sz="0" w:space="0" w:color="auto"/>
                            <w:left w:val="none" w:sz="0" w:space="0" w:color="auto"/>
                            <w:bottom w:val="none" w:sz="0" w:space="0" w:color="auto"/>
                            <w:right w:val="none" w:sz="0" w:space="0" w:color="auto"/>
                          </w:divBdr>
                          <w:divsChild>
                            <w:div w:id="2103641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915221">
                      <w:marLeft w:val="0"/>
                      <w:marRight w:val="0"/>
                      <w:marTop w:val="960"/>
                      <w:marBottom w:val="960"/>
                      <w:divBdr>
                        <w:top w:val="single" w:sz="6" w:space="24" w:color="E7E7E8"/>
                        <w:left w:val="single" w:sz="2" w:space="0" w:color="E7E7E8"/>
                        <w:bottom w:val="single" w:sz="6" w:space="24" w:color="E7E7E8"/>
                        <w:right w:val="single" w:sz="2" w:space="0" w:color="E7E7E8"/>
                      </w:divBdr>
                      <w:divsChild>
                        <w:div w:id="259333334">
                          <w:marLeft w:val="0"/>
                          <w:marRight w:val="0"/>
                          <w:marTop w:val="0"/>
                          <w:marBottom w:val="0"/>
                          <w:divBdr>
                            <w:top w:val="none" w:sz="0" w:space="0" w:color="auto"/>
                            <w:left w:val="none" w:sz="0" w:space="0" w:color="auto"/>
                            <w:bottom w:val="none" w:sz="0" w:space="0" w:color="auto"/>
                            <w:right w:val="none" w:sz="0" w:space="0" w:color="auto"/>
                          </w:divBdr>
                          <w:divsChild>
                            <w:div w:id="1477145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5545436">
      <w:bodyDiv w:val="1"/>
      <w:marLeft w:val="0"/>
      <w:marRight w:val="0"/>
      <w:marTop w:val="0"/>
      <w:marBottom w:val="0"/>
      <w:divBdr>
        <w:top w:val="none" w:sz="0" w:space="0" w:color="auto"/>
        <w:left w:val="none" w:sz="0" w:space="0" w:color="auto"/>
        <w:bottom w:val="none" w:sz="0" w:space="0" w:color="auto"/>
        <w:right w:val="none" w:sz="0" w:space="0" w:color="auto"/>
      </w:divBdr>
      <w:divsChild>
        <w:div w:id="2063824753">
          <w:marLeft w:val="0"/>
          <w:marRight w:val="0"/>
          <w:marTop w:val="0"/>
          <w:marBottom w:val="0"/>
          <w:divBdr>
            <w:top w:val="none" w:sz="0" w:space="0" w:color="auto"/>
            <w:left w:val="none" w:sz="0" w:space="0" w:color="auto"/>
            <w:bottom w:val="none" w:sz="0" w:space="0" w:color="auto"/>
            <w:right w:val="none" w:sz="0" w:space="0" w:color="auto"/>
          </w:divBdr>
        </w:div>
      </w:divsChild>
    </w:div>
    <w:div w:id="1081562547">
      <w:bodyDiv w:val="1"/>
      <w:marLeft w:val="0"/>
      <w:marRight w:val="0"/>
      <w:marTop w:val="0"/>
      <w:marBottom w:val="0"/>
      <w:divBdr>
        <w:top w:val="none" w:sz="0" w:space="0" w:color="auto"/>
        <w:left w:val="none" w:sz="0" w:space="0" w:color="auto"/>
        <w:bottom w:val="none" w:sz="0" w:space="0" w:color="auto"/>
        <w:right w:val="none" w:sz="0" w:space="0" w:color="auto"/>
      </w:divBdr>
      <w:divsChild>
        <w:div w:id="361370307">
          <w:blockQuote w:val="1"/>
          <w:marLeft w:val="0"/>
          <w:marRight w:val="0"/>
          <w:marTop w:val="300"/>
          <w:marBottom w:val="450"/>
          <w:divBdr>
            <w:top w:val="none" w:sz="0" w:space="0" w:color="2C498B"/>
            <w:left w:val="single" w:sz="36" w:space="15" w:color="2C498B"/>
            <w:bottom w:val="none" w:sz="0" w:space="0" w:color="2C498B"/>
            <w:right w:val="none" w:sz="0" w:space="0" w:color="2C498B"/>
          </w:divBdr>
        </w:div>
        <w:div w:id="852765150">
          <w:marLeft w:val="0"/>
          <w:marRight w:val="0"/>
          <w:marTop w:val="0"/>
          <w:marBottom w:val="0"/>
          <w:divBdr>
            <w:top w:val="none" w:sz="0" w:space="0" w:color="auto"/>
            <w:left w:val="none" w:sz="0" w:space="0" w:color="auto"/>
            <w:bottom w:val="none" w:sz="0" w:space="0" w:color="auto"/>
            <w:right w:val="none" w:sz="0" w:space="0" w:color="auto"/>
          </w:divBdr>
        </w:div>
      </w:divsChild>
    </w:div>
    <w:div w:id="1161969436">
      <w:bodyDiv w:val="1"/>
      <w:marLeft w:val="0"/>
      <w:marRight w:val="0"/>
      <w:marTop w:val="0"/>
      <w:marBottom w:val="0"/>
      <w:divBdr>
        <w:top w:val="none" w:sz="0" w:space="0" w:color="auto"/>
        <w:left w:val="none" w:sz="0" w:space="0" w:color="auto"/>
        <w:bottom w:val="none" w:sz="0" w:space="0" w:color="auto"/>
        <w:right w:val="none" w:sz="0" w:space="0" w:color="auto"/>
      </w:divBdr>
      <w:divsChild>
        <w:div w:id="922228996">
          <w:marLeft w:val="0"/>
          <w:marRight w:val="0"/>
          <w:marTop w:val="0"/>
          <w:marBottom w:val="0"/>
          <w:divBdr>
            <w:top w:val="none" w:sz="0" w:space="0" w:color="auto"/>
            <w:left w:val="none" w:sz="0" w:space="0" w:color="auto"/>
            <w:bottom w:val="none" w:sz="0" w:space="0" w:color="auto"/>
            <w:right w:val="none" w:sz="0" w:space="0" w:color="auto"/>
          </w:divBdr>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26330216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8220890">
      <w:bodyDiv w:val="1"/>
      <w:marLeft w:val="0"/>
      <w:marRight w:val="0"/>
      <w:marTop w:val="0"/>
      <w:marBottom w:val="0"/>
      <w:divBdr>
        <w:top w:val="none" w:sz="0" w:space="0" w:color="auto"/>
        <w:left w:val="none" w:sz="0" w:space="0" w:color="auto"/>
        <w:bottom w:val="none" w:sz="0" w:space="0" w:color="auto"/>
        <w:right w:val="none" w:sz="0" w:space="0" w:color="auto"/>
      </w:divBdr>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 w:id="20601994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47FB7E9-E380-4EDE-B980-090E6B34B9D3}"/>
</file>

<file path=customXml/itemProps2.xml><?xml version="1.0" encoding="utf-8"?>
<ds:datastoreItem xmlns:ds="http://schemas.openxmlformats.org/officeDocument/2006/customXml" ds:itemID="{E75EB06F-F0D3-4ECF-BBDF-2E6ED08F1D0E}">
  <ds:schemaRefs>
    <ds:schemaRef ds:uri="http://schemas.openxmlformats.org/officeDocument/2006/bibliography"/>
  </ds:schemaRefs>
</ds:datastoreItem>
</file>

<file path=customXml/itemProps3.xml><?xml version="1.0" encoding="utf-8"?>
<ds:datastoreItem xmlns:ds="http://schemas.openxmlformats.org/officeDocument/2006/customXml" ds:itemID="{AF9A4EDF-82B1-4F16-8C24-EAA54576FCC4}">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customXml/itemProps4.xml><?xml version="1.0" encoding="utf-8"?>
<ds:datastoreItem xmlns:ds="http://schemas.openxmlformats.org/officeDocument/2006/customXml" ds:itemID="{4177EC5E-11F1-405B-8852-CAD6596B626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25</Pages>
  <Words>5925</Words>
  <Characters>33774</Characters>
  <Application>Microsoft Office Word</Application>
  <DocSecurity>0</DocSecurity>
  <Lines>281</Lines>
  <Paragraphs>79</Paragraphs>
  <ScaleCrop>false</ScaleCrop>
  <HeadingPairs>
    <vt:vector size="2" baseType="variant">
      <vt:variant>
        <vt:lpstr>Titre</vt:lpstr>
      </vt:variant>
      <vt:variant>
        <vt:i4>1</vt:i4>
      </vt:variant>
    </vt:vector>
  </HeadingPairs>
  <TitlesOfParts>
    <vt:vector size="1" baseType="lpstr">
      <vt:lpstr>Chapitre 4</vt:lpstr>
    </vt:vector>
  </TitlesOfParts>
  <Company>CGPC - membre DE FPSB</Company>
  <LinksUpToDate>false</LinksUpToDate>
  <CharactersWithSpaces>39620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4 : La transmission du patrimoine du chef ou dirigeant d’entreprise</dc:title>
  <dc:subject>La transmission du patrimoine du chef ou dirigeant d’entreprise</dc:subject>
  <dc:creator>Renaud Duval</dc:creator>
  <cp:lastModifiedBy>Renaud Duval</cp:lastModifiedBy>
  <cp:revision>6</cp:revision>
  <cp:lastPrinted>2024-02-16T12:55:00Z</cp:lastPrinted>
  <dcterms:created xsi:type="dcterms:W3CDTF">2024-03-09T07:43:00Z</dcterms:created>
  <dcterms:modified xsi:type="dcterms:W3CDTF">2025-01-02T13:20:00Z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